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8B45" w14:textId="44F37748" w:rsidR="00EB24C7" w:rsidRPr="000F1D17" w:rsidRDefault="00742679" w:rsidP="00447551">
      <w:pPr>
        <w:pStyle w:val="NoSpacing"/>
      </w:pPr>
      <w:r w:rsidRPr="000F1D17">
        <w:t>California Academy of Family Physicians</w:t>
      </w:r>
    </w:p>
    <w:p w14:paraId="4B33F1BB" w14:textId="019210B1" w:rsidR="00742679" w:rsidRPr="000F1D17" w:rsidRDefault="00077125">
      <w:pPr>
        <w:rPr>
          <w:b/>
          <w:sz w:val="20"/>
          <w:szCs w:val="20"/>
        </w:rPr>
      </w:pPr>
      <w:r w:rsidRPr="000F1D17">
        <w:rPr>
          <w:b/>
          <w:sz w:val="20"/>
          <w:szCs w:val="20"/>
        </w:rPr>
        <w:t>2022</w:t>
      </w:r>
      <w:r w:rsidR="00742679" w:rsidRPr="000F1D17">
        <w:rPr>
          <w:b/>
          <w:sz w:val="20"/>
          <w:szCs w:val="20"/>
        </w:rPr>
        <w:t xml:space="preserve"> Resolutions Submitted to the CAFP Board of Directors</w:t>
      </w:r>
    </w:p>
    <w:p w14:paraId="1402D467" w14:textId="4B9B234C" w:rsidR="00742679" w:rsidRPr="000F1D17" w:rsidRDefault="00742679">
      <w:pPr>
        <w:rPr>
          <w:sz w:val="20"/>
          <w:szCs w:val="20"/>
        </w:rPr>
      </w:pPr>
    </w:p>
    <w:p w14:paraId="7529A51A" w14:textId="0816A7C5"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 xml:space="preserve">Resolutions may be submitted to the CAFP Board of Directors </w:t>
      </w:r>
      <w:r w:rsidR="008A7D56" w:rsidRPr="000F1D17">
        <w:rPr>
          <w:rFonts w:eastAsia="Times New Roman" w:cstheme="minorHAnsi"/>
          <w:color w:val="000000"/>
          <w:sz w:val="20"/>
          <w:szCs w:val="20"/>
        </w:rPr>
        <w:t xml:space="preserve">(BOD) </w:t>
      </w:r>
      <w:r w:rsidRPr="000F1D17">
        <w:rPr>
          <w:rFonts w:eastAsia="Times New Roman" w:cstheme="minorHAnsi"/>
          <w:color w:val="000000"/>
          <w:sz w:val="20"/>
          <w:szCs w:val="20"/>
        </w:rPr>
        <w:t>at any time during the year. This DASHBOARD includes a</w:t>
      </w:r>
      <w:r w:rsidR="00077125" w:rsidRPr="000F1D17">
        <w:rPr>
          <w:rFonts w:eastAsia="Times New Roman" w:cstheme="minorHAnsi"/>
          <w:color w:val="000000"/>
          <w:sz w:val="20"/>
          <w:szCs w:val="20"/>
        </w:rPr>
        <w:t>ction on those heard at the 2022</w:t>
      </w:r>
      <w:r w:rsidRPr="000F1D17">
        <w:rPr>
          <w:rFonts w:eastAsia="Times New Roman" w:cstheme="minorHAnsi"/>
          <w:color w:val="000000"/>
          <w:sz w:val="20"/>
          <w:szCs w:val="20"/>
        </w:rPr>
        <w:t xml:space="preserve"> All Member Advocacy Meeting</w:t>
      </w:r>
      <w:r w:rsidR="00176BED" w:rsidRPr="000F1D17">
        <w:rPr>
          <w:rFonts w:eastAsia="Times New Roman" w:cstheme="minorHAnsi"/>
          <w:color w:val="000000"/>
          <w:sz w:val="20"/>
          <w:szCs w:val="20"/>
        </w:rPr>
        <w:t xml:space="preserve"> (AMAM)</w:t>
      </w:r>
      <w:r w:rsidRPr="000F1D17">
        <w:rPr>
          <w:rFonts w:eastAsia="Times New Roman" w:cstheme="minorHAnsi"/>
          <w:color w:val="000000"/>
          <w:sz w:val="20"/>
          <w:szCs w:val="20"/>
        </w:rPr>
        <w:t xml:space="preserve"> and others submitted o</w:t>
      </w:r>
      <w:r w:rsidR="00077125" w:rsidRPr="000F1D17">
        <w:rPr>
          <w:rFonts w:eastAsia="Times New Roman" w:cstheme="minorHAnsi"/>
          <w:color w:val="000000"/>
          <w:sz w:val="20"/>
          <w:szCs w:val="20"/>
        </w:rPr>
        <w:t xml:space="preserve">utside the AMAM timeframe </w:t>
      </w:r>
    </w:p>
    <w:p w14:paraId="59AFDAC4" w14:textId="005F1C8D"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Resolutions submitted to the Board at the AMAM are de</w:t>
      </w:r>
      <w:r w:rsidR="00077125" w:rsidRPr="000F1D17">
        <w:rPr>
          <w:rFonts w:eastAsia="Times New Roman" w:cstheme="minorHAnsi"/>
          <w:color w:val="000000"/>
          <w:sz w:val="20"/>
          <w:szCs w:val="20"/>
        </w:rPr>
        <w:t>signated “A,” as in Res. A-01-22</w:t>
      </w:r>
      <w:r w:rsidRPr="000F1D17">
        <w:rPr>
          <w:rFonts w:eastAsia="Times New Roman" w:cstheme="minorHAnsi"/>
          <w:color w:val="000000"/>
          <w:sz w:val="20"/>
          <w:szCs w:val="20"/>
        </w:rPr>
        <w:t xml:space="preserve"> or ER for “emergency”, i.e., submitted after the deadline.</w:t>
      </w:r>
    </w:p>
    <w:p w14:paraId="4A688903" w14:textId="13A5EB61"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 xml:space="preserve">Resolutions submitted </w:t>
      </w:r>
      <w:r w:rsidR="008B4E4B" w:rsidRPr="000F1D17">
        <w:rPr>
          <w:rFonts w:eastAsia="Times New Roman" w:cstheme="minorHAnsi"/>
          <w:color w:val="000000"/>
          <w:sz w:val="20"/>
          <w:szCs w:val="20"/>
        </w:rPr>
        <w:t>outside of AMAM deadlines</w:t>
      </w:r>
      <w:r w:rsidRPr="000F1D17">
        <w:rPr>
          <w:rFonts w:eastAsia="Times New Roman" w:cstheme="minorHAnsi"/>
          <w:color w:val="000000"/>
          <w:sz w:val="20"/>
          <w:szCs w:val="20"/>
        </w:rPr>
        <w:t xml:space="preserve"> are designated “B,” as Board.</w:t>
      </w:r>
    </w:p>
    <w:p w14:paraId="275D22F0" w14:textId="23A74F71" w:rsidR="00742679" w:rsidRPr="000F1D17" w:rsidRDefault="00804D99" w:rsidP="00742679">
      <w:pPr>
        <w:pStyle w:val="ListParagraph"/>
        <w:numPr>
          <w:ilvl w:val="0"/>
          <w:numId w:val="1"/>
        </w:numPr>
        <w:rPr>
          <w:rFonts w:eastAsia="Times New Roman" w:cstheme="minorHAnsi"/>
          <w:color w:val="000000"/>
          <w:sz w:val="20"/>
          <w:szCs w:val="20"/>
        </w:rPr>
      </w:pPr>
      <w:hyperlink r:id="rId8" w:history="1">
        <w:r w:rsidR="00742679" w:rsidRPr="000F1D17">
          <w:rPr>
            <w:rFonts w:eastAsia="Times New Roman" w:cstheme="minorHAnsi"/>
            <w:color w:val="000000"/>
            <w:sz w:val="20"/>
            <w:szCs w:val="20"/>
          </w:rPr>
          <w:t xml:space="preserve">Resolutions will be tracked through the process and moved from </w:t>
        </w:r>
        <w:r w:rsidR="009419CD" w:rsidRPr="000F1D17">
          <w:rPr>
            <w:rFonts w:eastAsia="Times New Roman" w:cstheme="minorHAnsi"/>
            <w:color w:val="000000"/>
            <w:sz w:val="20"/>
            <w:szCs w:val="20"/>
          </w:rPr>
          <w:t xml:space="preserve">Yellow to </w:t>
        </w:r>
        <w:r w:rsidR="00742679" w:rsidRPr="000F1D17">
          <w:rPr>
            <w:rFonts w:eastAsia="Times New Roman" w:cstheme="minorHAnsi"/>
            <w:color w:val="000000"/>
            <w:sz w:val="20"/>
            <w:szCs w:val="20"/>
          </w:rPr>
          <w:t xml:space="preserve">Red </w:t>
        </w:r>
        <w:r w:rsidR="009419CD" w:rsidRPr="000F1D17">
          <w:rPr>
            <w:rFonts w:eastAsia="Times New Roman" w:cstheme="minorHAnsi"/>
            <w:color w:val="000000"/>
            <w:sz w:val="20"/>
            <w:szCs w:val="20"/>
          </w:rPr>
          <w:t>or</w:t>
        </w:r>
        <w:r w:rsidR="00742679" w:rsidRPr="000F1D17">
          <w:rPr>
            <w:rFonts w:eastAsia="Times New Roman" w:cstheme="minorHAnsi"/>
            <w:color w:val="000000"/>
            <w:sz w:val="20"/>
            <w:szCs w:val="20"/>
          </w:rPr>
          <w:t xml:space="preserve"> Green as final actions are determined. </w:t>
        </w:r>
      </w:hyperlink>
    </w:p>
    <w:p w14:paraId="3B122BC7" w14:textId="65358884"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The full resolutions are available for review on CAFP</w:t>
      </w:r>
      <w:r w:rsidR="00176BED" w:rsidRPr="000F1D17">
        <w:rPr>
          <w:rFonts w:eastAsia="Times New Roman" w:cstheme="minorHAnsi"/>
          <w:color w:val="000000"/>
          <w:sz w:val="20"/>
          <w:szCs w:val="20"/>
        </w:rPr>
        <w:t>’s</w:t>
      </w:r>
      <w:r w:rsidRPr="000F1D17">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F1D17" w:rsidRDefault="00742679">
      <w:pPr>
        <w:rPr>
          <w:sz w:val="20"/>
          <w:szCs w:val="20"/>
        </w:rPr>
      </w:pPr>
    </w:p>
    <w:tbl>
      <w:tblPr>
        <w:tblStyle w:val="TableGrid"/>
        <w:tblW w:w="12950" w:type="dxa"/>
        <w:tblLook w:val="04A0" w:firstRow="1" w:lastRow="0" w:firstColumn="1" w:lastColumn="0" w:noHBand="0" w:noVBand="1"/>
      </w:tblPr>
      <w:tblGrid>
        <w:gridCol w:w="3042"/>
        <w:gridCol w:w="9908"/>
      </w:tblGrid>
      <w:tr w:rsidR="002D3F3B" w:rsidRPr="000F1D17" w14:paraId="6467F89B" w14:textId="77777777" w:rsidTr="002D3F3B">
        <w:tc>
          <w:tcPr>
            <w:tcW w:w="12950" w:type="dxa"/>
            <w:gridSpan w:val="2"/>
            <w:shd w:val="clear" w:color="auto" w:fill="FFD966" w:themeFill="accent4" w:themeFillTint="99"/>
          </w:tcPr>
          <w:p w14:paraId="39CF6524" w14:textId="594DC1D1" w:rsidR="002D3F3B" w:rsidRPr="000F1D17" w:rsidRDefault="002D3F3B" w:rsidP="002B1219">
            <w:pPr>
              <w:rPr>
                <w:b/>
                <w:sz w:val="20"/>
                <w:szCs w:val="20"/>
              </w:rPr>
            </w:pPr>
            <w:r w:rsidRPr="000F1D17">
              <w:rPr>
                <w:b/>
                <w:sz w:val="20"/>
                <w:szCs w:val="20"/>
              </w:rPr>
              <w:t xml:space="preserve">YELLOW:  Resolutions Referred/Submitted </w:t>
            </w:r>
            <w:r w:rsidR="00ED7310" w:rsidRPr="000F1D17">
              <w:rPr>
                <w:b/>
                <w:sz w:val="20"/>
                <w:szCs w:val="20"/>
              </w:rPr>
              <w:t xml:space="preserve">by </w:t>
            </w:r>
            <w:r w:rsidRPr="000F1D17">
              <w:rPr>
                <w:b/>
                <w:sz w:val="20"/>
                <w:szCs w:val="20"/>
              </w:rPr>
              <w:t xml:space="preserve">the CAFP Board of Directors for Action </w:t>
            </w:r>
            <w:r w:rsidR="00077125" w:rsidRPr="000F1D17">
              <w:rPr>
                <w:b/>
                <w:sz w:val="20"/>
                <w:szCs w:val="20"/>
              </w:rPr>
              <w:t>4.22.22</w:t>
            </w:r>
          </w:p>
        </w:tc>
      </w:tr>
      <w:tr w:rsidR="00C4519B" w:rsidRPr="000F1D17" w14:paraId="6FCC8528" w14:textId="77777777" w:rsidTr="0090300F">
        <w:tc>
          <w:tcPr>
            <w:tcW w:w="12950" w:type="dxa"/>
            <w:gridSpan w:val="2"/>
            <w:shd w:val="clear" w:color="auto" w:fill="92D050"/>
          </w:tcPr>
          <w:p w14:paraId="5A50FB7B" w14:textId="77777777" w:rsidR="00C4519B" w:rsidRPr="000F1D17" w:rsidRDefault="00C4519B" w:rsidP="00C4519B">
            <w:pPr>
              <w:rPr>
                <w:b/>
                <w:sz w:val="20"/>
                <w:szCs w:val="20"/>
              </w:rPr>
            </w:pPr>
            <w:r w:rsidRPr="000F1D17">
              <w:rPr>
                <w:b/>
                <w:sz w:val="20"/>
                <w:szCs w:val="20"/>
              </w:rPr>
              <w:t>GREEN:  Resolutions ADOPTED/AMENDED and ADOPTED by the CAFP Board of Directors</w:t>
            </w:r>
          </w:p>
        </w:tc>
      </w:tr>
      <w:tr w:rsidR="00C4519B" w:rsidRPr="000F1D17" w14:paraId="663F461E" w14:textId="77777777" w:rsidTr="0090300F">
        <w:tc>
          <w:tcPr>
            <w:tcW w:w="3042" w:type="dxa"/>
          </w:tcPr>
          <w:p w14:paraId="141D49D1" w14:textId="77777777" w:rsidR="00C4519B" w:rsidRPr="000F1D17" w:rsidRDefault="00C4519B" w:rsidP="00C4519B">
            <w:pPr>
              <w:rPr>
                <w:sz w:val="20"/>
                <w:szCs w:val="20"/>
              </w:rPr>
            </w:pPr>
            <w:r w:rsidRPr="000F1D17">
              <w:rPr>
                <w:b/>
                <w:sz w:val="20"/>
                <w:szCs w:val="20"/>
              </w:rPr>
              <w:t xml:space="preserve">Resolution #/Title/Date Submitted </w:t>
            </w:r>
          </w:p>
        </w:tc>
        <w:tc>
          <w:tcPr>
            <w:tcW w:w="9908" w:type="dxa"/>
          </w:tcPr>
          <w:p w14:paraId="42A59B30" w14:textId="77777777" w:rsidR="00C4519B" w:rsidRPr="000F1D17" w:rsidRDefault="00C4519B" w:rsidP="00C4519B">
            <w:pPr>
              <w:rPr>
                <w:b/>
                <w:sz w:val="20"/>
                <w:szCs w:val="20"/>
              </w:rPr>
            </w:pPr>
            <w:r w:rsidRPr="000F1D17">
              <w:rPr>
                <w:b/>
                <w:sz w:val="20"/>
                <w:szCs w:val="20"/>
              </w:rPr>
              <w:t xml:space="preserve">A-01-22 – </w:t>
            </w:r>
            <w:r w:rsidRPr="000F1D17">
              <w:rPr>
                <w:b/>
                <w:bCs/>
                <w:noProof/>
                <w:sz w:val="20"/>
                <w:szCs w:val="20"/>
              </w:rPr>
              <w:t>Investment in Public Health</w:t>
            </w:r>
          </w:p>
        </w:tc>
      </w:tr>
      <w:tr w:rsidR="00C4519B" w:rsidRPr="000F1D17" w14:paraId="591EF8D4" w14:textId="77777777" w:rsidTr="00CD4BC7">
        <w:tc>
          <w:tcPr>
            <w:tcW w:w="3042" w:type="dxa"/>
          </w:tcPr>
          <w:p w14:paraId="246AC348" w14:textId="150B1683" w:rsidR="00C4519B" w:rsidRPr="000F1D17" w:rsidRDefault="00C4519B" w:rsidP="00C4519B">
            <w:pPr>
              <w:rPr>
                <w:sz w:val="20"/>
                <w:szCs w:val="20"/>
              </w:rPr>
            </w:pPr>
            <w:r w:rsidRPr="000F1D17">
              <w:rPr>
                <w:b/>
                <w:sz w:val="20"/>
                <w:szCs w:val="20"/>
              </w:rPr>
              <w:t>Original RESOLVEDS:</w:t>
            </w:r>
          </w:p>
        </w:tc>
        <w:tc>
          <w:tcPr>
            <w:tcW w:w="9908" w:type="dxa"/>
          </w:tcPr>
          <w:p w14:paraId="72BAE886" w14:textId="77777777" w:rsidR="00C4519B" w:rsidRPr="000F1D17" w:rsidRDefault="00C4519B" w:rsidP="00C4519B">
            <w:pPr>
              <w:rPr>
                <w:rFonts w:cstheme="minorHAnsi"/>
                <w:bCs/>
                <w:sz w:val="20"/>
                <w:szCs w:val="20"/>
              </w:rPr>
            </w:pPr>
            <w:r w:rsidRPr="000F1D17">
              <w:rPr>
                <w:rFonts w:cstheme="minorHAnsi"/>
                <w:b/>
                <w:sz w:val="20"/>
                <w:szCs w:val="20"/>
              </w:rPr>
              <w:t xml:space="preserve">RESOLVED: </w:t>
            </w:r>
            <w:r w:rsidRPr="000F1D17">
              <w:rPr>
                <w:rFonts w:cstheme="minorHAnsi"/>
                <w:bCs/>
                <w:sz w:val="20"/>
                <w:szCs w:val="20"/>
              </w:rPr>
              <w:t>The CAFP support investment of resources in state and local public health departments as guided by the current needs of the communities, which may include, but are not limited to, pandemic preparedness, mitigation of climate change effects on health, increase in public health labs, and higher paying salaries for qualified personnel, with the purpose of improving population health outcomes, and be it further</w:t>
            </w:r>
          </w:p>
          <w:p w14:paraId="07775DC9" w14:textId="77777777" w:rsidR="00C4519B" w:rsidRPr="000F1D17" w:rsidRDefault="00C4519B" w:rsidP="00C4519B">
            <w:pPr>
              <w:rPr>
                <w:rFonts w:cstheme="minorHAnsi"/>
                <w:bCs/>
                <w:sz w:val="20"/>
                <w:szCs w:val="20"/>
              </w:rPr>
            </w:pPr>
          </w:p>
          <w:p w14:paraId="09559A4D" w14:textId="77777777" w:rsidR="00C4519B" w:rsidRPr="000F1D17" w:rsidRDefault="00C4519B" w:rsidP="00C4519B">
            <w:pPr>
              <w:rPr>
                <w:rFonts w:cstheme="minorHAnsi"/>
                <w:bCs/>
                <w:sz w:val="20"/>
                <w:szCs w:val="20"/>
              </w:rPr>
            </w:pPr>
            <w:r w:rsidRPr="000F1D17">
              <w:rPr>
                <w:rFonts w:cstheme="minorHAnsi"/>
                <w:b/>
                <w:sz w:val="20"/>
                <w:szCs w:val="20"/>
              </w:rPr>
              <w:t>RESOLVED:</w:t>
            </w:r>
            <w:r w:rsidRPr="000F1D17">
              <w:rPr>
                <w:rFonts w:cstheme="minorHAnsi"/>
                <w:bCs/>
                <w:sz w:val="20"/>
                <w:szCs w:val="20"/>
              </w:rPr>
              <w:t xml:space="preserve"> The CAFP support efforts to increase coordination between primary care teams and public health programs to improve population health and health equity in the face of evolving public health challenges, and be it further</w:t>
            </w:r>
          </w:p>
          <w:p w14:paraId="340D2AE1" w14:textId="77777777" w:rsidR="00C4519B" w:rsidRPr="000F1D17" w:rsidRDefault="00C4519B" w:rsidP="00C4519B">
            <w:pPr>
              <w:rPr>
                <w:rFonts w:cstheme="minorHAnsi"/>
                <w:bCs/>
                <w:sz w:val="20"/>
                <w:szCs w:val="20"/>
              </w:rPr>
            </w:pPr>
          </w:p>
          <w:p w14:paraId="2ED26950" w14:textId="7832C856" w:rsidR="00C4519B" w:rsidRPr="000F1D17" w:rsidRDefault="00C4519B" w:rsidP="00C4519B">
            <w:pPr>
              <w:rPr>
                <w:b/>
                <w:bCs/>
                <w:sz w:val="20"/>
                <w:szCs w:val="20"/>
              </w:rPr>
            </w:pPr>
            <w:r w:rsidRPr="000F1D17">
              <w:rPr>
                <w:rFonts w:cstheme="minorHAnsi"/>
                <w:b/>
                <w:sz w:val="20"/>
                <w:szCs w:val="20"/>
              </w:rPr>
              <w:t>RESOLVED:</w:t>
            </w:r>
            <w:r w:rsidRPr="000F1D17">
              <w:rPr>
                <w:rFonts w:cstheme="minorHAnsi"/>
                <w:bCs/>
                <w:sz w:val="20"/>
                <w:szCs w:val="20"/>
              </w:rPr>
              <w:t xml:space="preserve"> The CAFP support efforts to improve transparency of current public health funding and perform regular assessments of that funding to ensure the necessary amount of resources are available and distributed to the appropriate public health programs based on the current health climate.</w:t>
            </w:r>
          </w:p>
        </w:tc>
      </w:tr>
      <w:tr w:rsidR="00C4519B" w:rsidRPr="000F1D17" w14:paraId="34C0C6CD" w14:textId="77777777" w:rsidTr="00CD4BC7">
        <w:tc>
          <w:tcPr>
            <w:tcW w:w="3042" w:type="dxa"/>
          </w:tcPr>
          <w:p w14:paraId="143CC3E5" w14:textId="20C45A47" w:rsidR="00C4519B" w:rsidRPr="000F1D17" w:rsidRDefault="00C4519B" w:rsidP="00C4519B">
            <w:pPr>
              <w:rPr>
                <w:sz w:val="20"/>
                <w:szCs w:val="20"/>
              </w:rPr>
            </w:pPr>
            <w:r w:rsidRPr="000F1D17">
              <w:rPr>
                <w:b/>
                <w:sz w:val="20"/>
                <w:szCs w:val="20"/>
              </w:rPr>
              <w:t>Recommended Actions and Progress Notes:</w:t>
            </w:r>
          </w:p>
        </w:tc>
        <w:tc>
          <w:tcPr>
            <w:tcW w:w="9908" w:type="dxa"/>
          </w:tcPr>
          <w:p w14:paraId="68236D2F" w14:textId="1C8EEEC7" w:rsidR="00C4519B" w:rsidRPr="000F1D17" w:rsidRDefault="00C4519B" w:rsidP="00C4519B">
            <w:pPr>
              <w:rPr>
                <w:rFonts w:eastAsia="Calibri" w:cs="Calibri"/>
                <w:bCs/>
                <w:color w:val="000000"/>
                <w:sz w:val="20"/>
                <w:szCs w:val="20"/>
              </w:rPr>
            </w:pPr>
            <w:r w:rsidRPr="000F1D17">
              <w:rPr>
                <w:rFonts w:eastAsia="Calibri" w:cs="Calibri"/>
                <w:bCs/>
                <w:color w:val="000000"/>
                <w:sz w:val="20"/>
                <w:szCs w:val="20"/>
              </w:rPr>
              <w:t>BOD met on 4.22.22 and Adopted as amended below.</w:t>
            </w:r>
          </w:p>
          <w:p w14:paraId="24969FA8" w14:textId="77777777" w:rsidR="00C4519B" w:rsidRPr="000F1D17" w:rsidRDefault="00C4519B" w:rsidP="00C4519B">
            <w:pPr>
              <w:rPr>
                <w:rFonts w:eastAsia="Calibri" w:cs="Calibri"/>
                <w:b/>
                <w:bCs/>
                <w:color w:val="000000"/>
                <w:sz w:val="20"/>
                <w:szCs w:val="20"/>
              </w:rPr>
            </w:pPr>
          </w:p>
          <w:p w14:paraId="262CDC1C" w14:textId="27DCCD9E" w:rsidR="00C4519B" w:rsidRPr="000F1D17" w:rsidRDefault="00C4519B" w:rsidP="00C4519B">
            <w:pPr>
              <w:rPr>
                <w:rFonts w:cstheme="minorHAnsi"/>
                <w:bCs/>
                <w:sz w:val="20"/>
                <w:szCs w:val="20"/>
              </w:rPr>
            </w:pPr>
            <w:r w:rsidRPr="000F1D17">
              <w:rPr>
                <w:rFonts w:cstheme="minorHAnsi"/>
                <w:b/>
                <w:sz w:val="20"/>
                <w:szCs w:val="20"/>
              </w:rPr>
              <w:t xml:space="preserve">RESOLVED: </w:t>
            </w:r>
            <w:r w:rsidRPr="000F1D17">
              <w:rPr>
                <w:rFonts w:cstheme="minorHAnsi"/>
                <w:bCs/>
                <w:sz w:val="20"/>
                <w:szCs w:val="20"/>
              </w:rPr>
              <w:t>The CAFP support efforts that promote investment of resources in state and local public health departments as guided by the current needs of the communities, which may include, but are not limited to, pandemic preparedness, mitigation of climate change effects on health, increase in public health labs, and higher paying salaries for qualified personnel, with the purpose of improving population health outcomes, and be it further</w:t>
            </w:r>
          </w:p>
          <w:p w14:paraId="2204F3E4" w14:textId="77777777" w:rsidR="00C4519B" w:rsidRPr="000F1D17" w:rsidRDefault="00C4519B" w:rsidP="00C4519B">
            <w:pPr>
              <w:rPr>
                <w:rFonts w:cstheme="minorHAnsi"/>
                <w:bCs/>
                <w:sz w:val="20"/>
                <w:szCs w:val="20"/>
              </w:rPr>
            </w:pPr>
          </w:p>
          <w:p w14:paraId="330D43E0" w14:textId="77777777" w:rsidR="00C4519B" w:rsidRPr="000F1D17" w:rsidRDefault="00C4519B" w:rsidP="00C4519B">
            <w:pPr>
              <w:rPr>
                <w:rFonts w:cstheme="minorHAnsi"/>
                <w:bCs/>
                <w:sz w:val="20"/>
                <w:szCs w:val="20"/>
              </w:rPr>
            </w:pPr>
            <w:r w:rsidRPr="000F1D17">
              <w:rPr>
                <w:rFonts w:cstheme="minorHAnsi"/>
                <w:b/>
                <w:sz w:val="20"/>
                <w:szCs w:val="20"/>
              </w:rPr>
              <w:t>RESOLVED:</w:t>
            </w:r>
            <w:r w:rsidRPr="000F1D17">
              <w:rPr>
                <w:rFonts w:cstheme="minorHAnsi"/>
                <w:bCs/>
                <w:sz w:val="20"/>
                <w:szCs w:val="20"/>
              </w:rPr>
              <w:t xml:space="preserve"> The CAFP support efforts to increase coordination between primary care teams and public health programs to improve population health and health equity in the face of evolving public health challenges, and be it further</w:t>
            </w:r>
          </w:p>
          <w:p w14:paraId="1EF1BE3F" w14:textId="77777777" w:rsidR="00C4519B" w:rsidRPr="000F1D17" w:rsidRDefault="00C4519B" w:rsidP="00C4519B">
            <w:pPr>
              <w:rPr>
                <w:rFonts w:cstheme="minorHAnsi"/>
                <w:bCs/>
                <w:sz w:val="20"/>
                <w:szCs w:val="20"/>
              </w:rPr>
            </w:pPr>
          </w:p>
          <w:p w14:paraId="7A33EAB9" w14:textId="317FBB7F" w:rsidR="00C4519B" w:rsidRPr="00FB1FAF" w:rsidRDefault="00C4519B" w:rsidP="00C4519B">
            <w:pPr>
              <w:rPr>
                <w:rFonts w:cstheme="minorHAnsi"/>
                <w:b/>
                <w:sz w:val="20"/>
                <w:szCs w:val="20"/>
              </w:rPr>
            </w:pPr>
            <w:r w:rsidRPr="000F1D17">
              <w:rPr>
                <w:rFonts w:cstheme="minorHAnsi"/>
                <w:b/>
                <w:sz w:val="20"/>
                <w:szCs w:val="20"/>
              </w:rPr>
              <w:lastRenderedPageBreak/>
              <w:t>RESOLVED:</w:t>
            </w:r>
            <w:r w:rsidRPr="000F1D17">
              <w:rPr>
                <w:rFonts w:cstheme="minorHAnsi"/>
                <w:bCs/>
                <w:sz w:val="20"/>
                <w:szCs w:val="20"/>
              </w:rPr>
              <w:t xml:space="preserve"> The CAFP support efforts to improve transparency of current public health funding and perform regular assessments of that funding to ensure the necessary amount of resources are available and distributed to the appropriate public health programs based on the current health climate.</w:t>
            </w:r>
          </w:p>
        </w:tc>
      </w:tr>
      <w:tr w:rsidR="00C4519B" w:rsidRPr="000F1D17" w14:paraId="10694277" w14:textId="77777777" w:rsidTr="00CD4BC7">
        <w:tc>
          <w:tcPr>
            <w:tcW w:w="3042" w:type="dxa"/>
          </w:tcPr>
          <w:p w14:paraId="2A327E0E" w14:textId="71F102BB" w:rsidR="00C4519B" w:rsidRPr="000F1D17" w:rsidRDefault="00C4519B" w:rsidP="00C4519B">
            <w:pPr>
              <w:rPr>
                <w:b/>
                <w:sz w:val="20"/>
                <w:szCs w:val="20"/>
              </w:rPr>
            </w:pPr>
            <w:r w:rsidRPr="000F1D17">
              <w:rPr>
                <w:b/>
                <w:sz w:val="20"/>
                <w:szCs w:val="20"/>
              </w:rPr>
              <w:lastRenderedPageBreak/>
              <w:t>Final Action:</w:t>
            </w:r>
          </w:p>
        </w:tc>
        <w:tc>
          <w:tcPr>
            <w:tcW w:w="9908" w:type="dxa"/>
          </w:tcPr>
          <w:p w14:paraId="6E1AACEF" w14:textId="24393C2D" w:rsidR="00C4519B" w:rsidRPr="000F1D17" w:rsidRDefault="00C4519B" w:rsidP="00C4519B">
            <w:pPr>
              <w:rPr>
                <w:rFonts w:eastAsia="Calibri" w:cs="Calibri"/>
                <w:bCs/>
                <w:color w:val="000000"/>
                <w:sz w:val="20"/>
                <w:szCs w:val="20"/>
              </w:rPr>
            </w:pPr>
            <w:r w:rsidRPr="000F1D17">
              <w:rPr>
                <w:rFonts w:eastAsia="Calibri" w:cs="Calibri"/>
                <w:bCs/>
                <w:color w:val="000000"/>
                <w:sz w:val="20"/>
                <w:szCs w:val="20"/>
              </w:rPr>
              <w:t xml:space="preserve">BOD met on 4.22.22 and Adopted as amended. </w:t>
            </w:r>
            <w:r w:rsidRPr="005E7CB8">
              <w:rPr>
                <w:rFonts w:eastAsia="Calibri" w:cs="Calibri"/>
                <w:bCs/>
                <w:color w:val="000000"/>
                <w:sz w:val="20"/>
                <w:szCs w:val="20"/>
              </w:rPr>
              <w:t>Authors informed.</w:t>
            </w:r>
            <w:r w:rsidRPr="000F1D17">
              <w:rPr>
                <w:rFonts w:eastAsia="Calibri" w:cs="Calibri"/>
                <w:bCs/>
                <w:color w:val="000000"/>
                <w:sz w:val="20"/>
                <w:szCs w:val="20"/>
              </w:rPr>
              <w:t xml:space="preserve"> </w:t>
            </w:r>
          </w:p>
        </w:tc>
      </w:tr>
      <w:tr w:rsidR="00C4519B" w:rsidRPr="000F1D17" w14:paraId="377BF55D" w14:textId="182E7E42" w:rsidTr="006B2BD4">
        <w:tc>
          <w:tcPr>
            <w:tcW w:w="12950" w:type="dxa"/>
            <w:gridSpan w:val="2"/>
            <w:shd w:val="clear" w:color="auto" w:fill="D0CECE" w:themeFill="background2" w:themeFillShade="E6"/>
          </w:tcPr>
          <w:p w14:paraId="65ACF691" w14:textId="32250CC0" w:rsidR="00C4519B" w:rsidRPr="000F1D17" w:rsidRDefault="00C4519B" w:rsidP="00C4519B">
            <w:pPr>
              <w:rPr>
                <w:b/>
                <w:sz w:val="20"/>
                <w:szCs w:val="20"/>
              </w:rPr>
            </w:pPr>
          </w:p>
        </w:tc>
      </w:tr>
      <w:tr w:rsidR="00D0301C" w:rsidRPr="000F1D17" w14:paraId="4BE2A297" w14:textId="77777777" w:rsidTr="00072924">
        <w:tc>
          <w:tcPr>
            <w:tcW w:w="3042" w:type="dxa"/>
          </w:tcPr>
          <w:p w14:paraId="7A438B69" w14:textId="77777777" w:rsidR="00D0301C" w:rsidRPr="000F1D17" w:rsidRDefault="00D0301C" w:rsidP="00072924">
            <w:pPr>
              <w:rPr>
                <w:sz w:val="20"/>
                <w:szCs w:val="20"/>
              </w:rPr>
            </w:pPr>
            <w:r w:rsidRPr="000F1D17">
              <w:rPr>
                <w:b/>
                <w:sz w:val="20"/>
                <w:szCs w:val="20"/>
              </w:rPr>
              <w:t xml:space="preserve">Resolution #/Title/Date Submitted </w:t>
            </w:r>
          </w:p>
        </w:tc>
        <w:tc>
          <w:tcPr>
            <w:tcW w:w="9908" w:type="dxa"/>
          </w:tcPr>
          <w:p w14:paraId="0C484744" w14:textId="77777777" w:rsidR="00D0301C" w:rsidRPr="000F1D17" w:rsidRDefault="00D0301C" w:rsidP="00072924">
            <w:pPr>
              <w:rPr>
                <w:b/>
                <w:sz w:val="20"/>
                <w:szCs w:val="20"/>
              </w:rPr>
            </w:pPr>
            <w:r w:rsidRPr="000F1D17">
              <w:rPr>
                <w:b/>
                <w:sz w:val="20"/>
                <w:szCs w:val="20"/>
              </w:rPr>
              <w:t xml:space="preserve">A-02-22 – </w:t>
            </w:r>
            <w:r w:rsidRPr="000F1D17">
              <w:rPr>
                <w:rFonts w:cstheme="minorHAnsi"/>
                <w:b/>
                <w:sz w:val="20"/>
                <w:szCs w:val="20"/>
              </w:rPr>
              <w:t>Support for free clinics in an era of increasing health care needs</w:t>
            </w:r>
          </w:p>
        </w:tc>
      </w:tr>
      <w:tr w:rsidR="00D0301C" w:rsidRPr="000F1D17" w14:paraId="600CE157" w14:textId="77777777" w:rsidTr="00072924">
        <w:tc>
          <w:tcPr>
            <w:tcW w:w="3042" w:type="dxa"/>
          </w:tcPr>
          <w:p w14:paraId="50845F1C" w14:textId="77777777" w:rsidR="00D0301C" w:rsidRPr="000F1D17" w:rsidRDefault="00D0301C" w:rsidP="00072924">
            <w:pPr>
              <w:rPr>
                <w:b/>
                <w:sz w:val="20"/>
                <w:szCs w:val="20"/>
              </w:rPr>
            </w:pPr>
            <w:r w:rsidRPr="000F1D17">
              <w:rPr>
                <w:b/>
                <w:sz w:val="20"/>
                <w:szCs w:val="20"/>
              </w:rPr>
              <w:t>Original RESOLVEDS:</w:t>
            </w:r>
          </w:p>
        </w:tc>
        <w:tc>
          <w:tcPr>
            <w:tcW w:w="9908" w:type="dxa"/>
          </w:tcPr>
          <w:p w14:paraId="0141905D" w14:textId="77777777" w:rsidR="00D0301C" w:rsidRPr="000F1D17" w:rsidRDefault="00D0301C" w:rsidP="00072924">
            <w:pPr>
              <w:rPr>
                <w:rFonts w:cstheme="minorHAnsi"/>
                <w:bCs/>
                <w:sz w:val="20"/>
                <w:szCs w:val="20"/>
              </w:rPr>
            </w:pPr>
            <w:r w:rsidRPr="000F1D17">
              <w:rPr>
                <w:rFonts w:cstheme="minorHAnsi"/>
                <w:b/>
                <w:sz w:val="20"/>
                <w:szCs w:val="20"/>
              </w:rPr>
              <w:t xml:space="preserve">RESOLVED: </w:t>
            </w:r>
            <w:r w:rsidRPr="000F1D17">
              <w:rPr>
                <w:rFonts w:cstheme="minorHAnsi"/>
                <w:bCs/>
                <w:sz w:val="20"/>
                <w:szCs w:val="20"/>
              </w:rPr>
              <w:t xml:space="preserve">That the CAFP partner with the American Medical Association (AMA) and other medical organizations to encourage providers to consider volunteering at a local free clinic, including after retirement, </w:t>
            </w:r>
          </w:p>
          <w:p w14:paraId="4B4BF56F" w14:textId="77777777" w:rsidR="00D0301C" w:rsidRPr="000F1D17" w:rsidRDefault="00D0301C" w:rsidP="00072924">
            <w:pPr>
              <w:rPr>
                <w:rFonts w:cstheme="minorHAnsi"/>
                <w:bCs/>
                <w:sz w:val="20"/>
                <w:szCs w:val="20"/>
              </w:rPr>
            </w:pPr>
          </w:p>
          <w:p w14:paraId="3C137F43" w14:textId="77777777" w:rsidR="00D0301C" w:rsidRPr="000F1D17" w:rsidRDefault="00D0301C" w:rsidP="00072924">
            <w:pPr>
              <w:rPr>
                <w:rFonts w:cstheme="minorHAnsi"/>
                <w:bCs/>
                <w:sz w:val="20"/>
                <w:szCs w:val="20"/>
              </w:rPr>
            </w:pPr>
            <w:r w:rsidRPr="000F1D17">
              <w:rPr>
                <w:rFonts w:cstheme="minorHAnsi"/>
                <w:b/>
                <w:sz w:val="20"/>
                <w:szCs w:val="20"/>
              </w:rPr>
              <w:t>RESOLVED:</w:t>
            </w:r>
            <w:r w:rsidRPr="000F1D17">
              <w:rPr>
                <w:rFonts w:cstheme="minorHAnsi"/>
                <w:bCs/>
                <w:sz w:val="20"/>
                <w:szCs w:val="20"/>
              </w:rPr>
              <w:t xml:space="preserve"> That the CAFP create a workshop or other educational session for parties who may want to </w:t>
            </w:r>
          </w:p>
          <w:p w14:paraId="53060DC6" w14:textId="77777777" w:rsidR="00D0301C" w:rsidRPr="000F1D17" w:rsidRDefault="00D0301C" w:rsidP="00072924">
            <w:pPr>
              <w:rPr>
                <w:rFonts w:cstheme="minorHAnsi"/>
                <w:bCs/>
                <w:sz w:val="20"/>
                <w:szCs w:val="20"/>
              </w:rPr>
            </w:pPr>
            <w:r w:rsidRPr="000F1D17">
              <w:rPr>
                <w:rFonts w:cstheme="minorHAnsi"/>
                <w:bCs/>
                <w:sz w:val="20"/>
                <w:szCs w:val="20"/>
              </w:rPr>
              <w:t>start or support a free clinic,</w:t>
            </w:r>
          </w:p>
          <w:p w14:paraId="2A4B3601" w14:textId="77777777" w:rsidR="00D0301C" w:rsidRPr="000F1D17" w:rsidRDefault="00D0301C" w:rsidP="00072924">
            <w:pPr>
              <w:rPr>
                <w:rFonts w:cstheme="minorHAnsi"/>
                <w:bCs/>
                <w:sz w:val="20"/>
                <w:szCs w:val="20"/>
              </w:rPr>
            </w:pPr>
          </w:p>
          <w:p w14:paraId="22638C5F" w14:textId="77777777" w:rsidR="00D0301C" w:rsidRPr="00FB1FAF" w:rsidRDefault="00D0301C" w:rsidP="00072924">
            <w:pPr>
              <w:rPr>
                <w:rFonts w:cstheme="minorHAnsi"/>
                <w:bCs/>
                <w:sz w:val="20"/>
                <w:szCs w:val="20"/>
              </w:rPr>
            </w:pPr>
            <w:r w:rsidRPr="000F1D17">
              <w:rPr>
                <w:rFonts w:cstheme="minorHAnsi"/>
                <w:b/>
                <w:sz w:val="20"/>
                <w:szCs w:val="20"/>
              </w:rPr>
              <w:t>RESOLVED:</w:t>
            </w:r>
            <w:r w:rsidRPr="000F1D17">
              <w:rPr>
                <w:rFonts w:cstheme="minorHAnsi"/>
                <w:bCs/>
                <w:sz w:val="20"/>
                <w:szCs w:val="20"/>
              </w:rPr>
              <w:t xml:space="preserve"> That the CAFP issue a formal statement encouraging hospital systems and other interested parties to partner with or support the existence of free clinics as this can reduce the burden of costs stemming from use of the emergency department for primary care.</w:t>
            </w:r>
          </w:p>
        </w:tc>
      </w:tr>
      <w:tr w:rsidR="00D0301C" w:rsidRPr="000F1D17" w14:paraId="5F472954" w14:textId="77777777" w:rsidTr="00072924">
        <w:tc>
          <w:tcPr>
            <w:tcW w:w="3042" w:type="dxa"/>
          </w:tcPr>
          <w:p w14:paraId="692DB5B9" w14:textId="77777777" w:rsidR="00D0301C" w:rsidRPr="000F1D17" w:rsidRDefault="00D0301C" w:rsidP="00072924">
            <w:pPr>
              <w:rPr>
                <w:b/>
                <w:sz w:val="20"/>
                <w:szCs w:val="20"/>
              </w:rPr>
            </w:pPr>
            <w:r w:rsidRPr="000F1D17">
              <w:rPr>
                <w:b/>
                <w:sz w:val="20"/>
                <w:szCs w:val="20"/>
              </w:rPr>
              <w:t>Recommended Actions and Progress Notes:</w:t>
            </w:r>
          </w:p>
        </w:tc>
        <w:tc>
          <w:tcPr>
            <w:tcW w:w="9908" w:type="dxa"/>
          </w:tcPr>
          <w:p w14:paraId="19A1625C" w14:textId="77777777" w:rsidR="00D0301C" w:rsidRPr="000F1D17" w:rsidRDefault="00D0301C" w:rsidP="00072924">
            <w:pPr>
              <w:rPr>
                <w:b/>
                <w:sz w:val="20"/>
                <w:szCs w:val="20"/>
              </w:rPr>
            </w:pPr>
            <w:r w:rsidRPr="000F1D17">
              <w:rPr>
                <w:rFonts w:eastAsia="Calibri" w:cs="Calibri"/>
                <w:bCs/>
                <w:color w:val="000000"/>
                <w:sz w:val="20"/>
                <w:szCs w:val="20"/>
              </w:rPr>
              <w:t xml:space="preserve">BOD met on 4.22.22 and referred to the Committee on Public Health and Equity (CPHE), for report back to the Board at the July 2022 Board meeting. </w:t>
            </w:r>
            <w:r w:rsidRPr="005E7CB8">
              <w:rPr>
                <w:rFonts w:eastAsia="Calibri" w:cs="Calibri"/>
                <w:bCs/>
                <w:color w:val="000000"/>
                <w:sz w:val="20"/>
                <w:szCs w:val="20"/>
              </w:rPr>
              <w:t>Authors informed.</w:t>
            </w:r>
          </w:p>
        </w:tc>
      </w:tr>
      <w:tr w:rsidR="00D0301C" w:rsidRPr="000F1D17" w14:paraId="4F955AEB" w14:textId="77777777" w:rsidTr="00072924">
        <w:tc>
          <w:tcPr>
            <w:tcW w:w="3042" w:type="dxa"/>
            <w:shd w:val="clear" w:color="auto" w:fill="FFFFFF" w:themeFill="background1"/>
          </w:tcPr>
          <w:p w14:paraId="4809676A" w14:textId="77777777" w:rsidR="00D0301C" w:rsidRPr="00D0301C" w:rsidRDefault="00D0301C" w:rsidP="00072924">
            <w:pPr>
              <w:rPr>
                <w:b/>
                <w:sz w:val="20"/>
                <w:szCs w:val="20"/>
              </w:rPr>
            </w:pPr>
            <w:r w:rsidRPr="00D0301C">
              <w:rPr>
                <w:b/>
                <w:sz w:val="20"/>
                <w:szCs w:val="20"/>
              </w:rPr>
              <w:t>Final Action:</w:t>
            </w:r>
          </w:p>
        </w:tc>
        <w:tc>
          <w:tcPr>
            <w:tcW w:w="9908" w:type="dxa"/>
            <w:shd w:val="clear" w:color="auto" w:fill="FFFFFF" w:themeFill="background1"/>
          </w:tcPr>
          <w:p w14:paraId="2BD11691" w14:textId="77777777" w:rsidR="00D0301C" w:rsidRPr="00D0301C" w:rsidRDefault="00D0301C" w:rsidP="00072924">
            <w:pPr>
              <w:rPr>
                <w:sz w:val="20"/>
                <w:szCs w:val="20"/>
              </w:rPr>
            </w:pPr>
            <w:r w:rsidRPr="00D0301C">
              <w:rPr>
                <w:sz w:val="20"/>
                <w:szCs w:val="20"/>
              </w:rPr>
              <w:t xml:space="preserve">BOD met on 7.23.22 and Adopted as Amended below. Authors informed. </w:t>
            </w:r>
          </w:p>
          <w:p w14:paraId="0F5B6FFA" w14:textId="77777777" w:rsidR="00D0301C" w:rsidRPr="00D0301C" w:rsidRDefault="00D0301C" w:rsidP="00072924">
            <w:pPr>
              <w:rPr>
                <w:sz w:val="20"/>
                <w:szCs w:val="20"/>
              </w:rPr>
            </w:pPr>
          </w:p>
          <w:p w14:paraId="41E37F3F" w14:textId="77777777" w:rsidR="00D0301C" w:rsidRPr="00D0301C" w:rsidRDefault="00D0301C" w:rsidP="00072924">
            <w:pPr>
              <w:rPr>
                <w:sz w:val="20"/>
                <w:szCs w:val="20"/>
              </w:rPr>
            </w:pPr>
            <w:r w:rsidRPr="00D0301C">
              <w:rPr>
                <w:b/>
                <w:bCs/>
                <w:sz w:val="20"/>
                <w:szCs w:val="20"/>
              </w:rPr>
              <w:t>RESOLVED:</w:t>
            </w:r>
            <w:r w:rsidRPr="00D0301C">
              <w:rPr>
                <w:sz w:val="20"/>
                <w:szCs w:val="20"/>
              </w:rPr>
              <w:t xml:space="preserve">  That CAFP invite outside organizations to present educational sessions about free clinics and FQHCs, and to find opportunities to connect members with free clinics and FQHCs.</w:t>
            </w:r>
          </w:p>
        </w:tc>
      </w:tr>
      <w:tr w:rsidR="00D0301C" w:rsidRPr="000F1D17" w14:paraId="61BF12DD" w14:textId="77777777" w:rsidTr="00D0301C">
        <w:tc>
          <w:tcPr>
            <w:tcW w:w="3042" w:type="dxa"/>
            <w:shd w:val="clear" w:color="auto" w:fill="D0CECE" w:themeFill="background2" w:themeFillShade="E6"/>
          </w:tcPr>
          <w:p w14:paraId="308FBC71" w14:textId="77777777" w:rsidR="00D0301C" w:rsidRPr="000F1D17" w:rsidRDefault="00D0301C" w:rsidP="00C4519B">
            <w:pPr>
              <w:rPr>
                <w:b/>
                <w:sz w:val="20"/>
                <w:szCs w:val="20"/>
              </w:rPr>
            </w:pPr>
          </w:p>
        </w:tc>
        <w:tc>
          <w:tcPr>
            <w:tcW w:w="9908" w:type="dxa"/>
            <w:shd w:val="clear" w:color="auto" w:fill="D0CECE" w:themeFill="background2" w:themeFillShade="E6"/>
          </w:tcPr>
          <w:p w14:paraId="153D0A41" w14:textId="77777777" w:rsidR="00D0301C" w:rsidRPr="000F1D17" w:rsidRDefault="00D0301C" w:rsidP="00C4519B">
            <w:pPr>
              <w:rPr>
                <w:b/>
                <w:sz w:val="20"/>
                <w:szCs w:val="20"/>
              </w:rPr>
            </w:pPr>
          </w:p>
        </w:tc>
      </w:tr>
      <w:tr w:rsidR="00C4519B" w:rsidRPr="000F1D17" w14:paraId="7C762AD5" w14:textId="77777777" w:rsidTr="007A2381">
        <w:tc>
          <w:tcPr>
            <w:tcW w:w="3042" w:type="dxa"/>
          </w:tcPr>
          <w:p w14:paraId="0254C617" w14:textId="77777777" w:rsidR="00C4519B" w:rsidRPr="000F1D17" w:rsidRDefault="00C4519B" w:rsidP="00C4519B">
            <w:pPr>
              <w:rPr>
                <w:b/>
                <w:sz w:val="20"/>
                <w:szCs w:val="20"/>
              </w:rPr>
            </w:pPr>
            <w:r w:rsidRPr="000F1D17">
              <w:rPr>
                <w:b/>
                <w:sz w:val="20"/>
                <w:szCs w:val="20"/>
              </w:rPr>
              <w:t xml:space="preserve">Resolution #/Title/Date Submitted </w:t>
            </w:r>
          </w:p>
        </w:tc>
        <w:tc>
          <w:tcPr>
            <w:tcW w:w="9908" w:type="dxa"/>
          </w:tcPr>
          <w:p w14:paraId="09402272" w14:textId="6B9B0548" w:rsidR="00C4519B" w:rsidRPr="000F1D17" w:rsidRDefault="00C4519B" w:rsidP="00C4519B">
            <w:pPr>
              <w:rPr>
                <w:b/>
                <w:sz w:val="20"/>
                <w:szCs w:val="20"/>
              </w:rPr>
            </w:pPr>
            <w:r w:rsidRPr="000F1D17">
              <w:rPr>
                <w:b/>
                <w:sz w:val="20"/>
                <w:szCs w:val="20"/>
              </w:rPr>
              <w:t>A-03-22 – Address Minor Consent for Vaccines</w:t>
            </w:r>
          </w:p>
        </w:tc>
      </w:tr>
      <w:tr w:rsidR="00C4519B" w:rsidRPr="000F1D17" w14:paraId="0FED3AAB" w14:textId="77777777" w:rsidTr="007A2381">
        <w:trPr>
          <w:trHeight w:val="809"/>
        </w:trPr>
        <w:tc>
          <w:tcPr>
            <w:tcW w:w="3042" w:type="dxa"/>
          </w:tcPr>
          <w:p w14:paraId="5C561FC9" w14:textId="77777777" w:rsidR="00C4519B" w:rsidRPr="000F1D17" w:rsidRDefault="00C4519B" w:rsidP="00C4519B">
            <w:pPr>
              <w:rPr>
                <w:b/>
                <w:sz w:val="20"/>
                <w:szCs w:val="20"/>
              </w:rPr>
            </w:pPr>
            <w:r w:rsidRPr="000F1D17">
              <w:rPr>
                <w:b/>
                <w:sz w:val="20"/>
                <w:szCs w:val="20"/>
              </w:rPr>
              <w:t>Original RESOLVEDS:</w:t>
            </w:r>
          </w:p>
        </w:tc>
        <w:tc>
          <w:tcPr>
            <w:tcW w:w="9908" w:type="dxa"/>
          </w:tcPr>
          <w:p w14:paraId="3DB14B16" w14:textId="77777777" w:rsidR="00C4519B" w:rsidRPr="000F1D17" w:rsidRDefault="00C4519B" w:rsidP="00C4519B">
            <w:pPr>
              <w:rPr>
                <w:rFonts w:cstheme="minorHAnsi"/>
                <w:sz w:val="20"/>
                <w:szCs w:val="20"/>
              </w:rPr>
            </w:pPr>
            <w:r w:rsidRPr="000F1D17">
              <w:rPr>
                <w:rFonts w:cstheme="minorHAnsi"/>
                <w:b/>
                <w:bCs/>
                <w:sz w:val="20"/>
                <w:szCs w:val="20"/>
              </w:rPr>
              <w:t>RESOLVED:</w:t>
            </w:r>
            <w:r w:rsidRPr="000F1D17">
              <w:rPr>
                <w:rFonts w:cstheme="minorHAnsi"/>
                <w:sz w:val="20"/>
                <w:szCs w:val="20"/>
              </w:rPr>
              <w:t xml:space="preserve"> That the California Academy of Family Physicians advocate that vaccines recommended by the Centers for Disease Control and Prevention be available to adolescents aged 12 years and older who desire vaccination without requiring consent from their legal guardians, and</w:t>
            </w:r>
          </w:p>
          <w:p w14:paraId="559A50C0" w14:textId="77777777" w:rsidR="00C4519B" w:rsidRPr="000F1D17" w:rsidRDefault="00C4519B" w:rsidP="00C4519B">
            <w:pPr>
              <w:rPr>
                <w:rFonts w:cstheme="minorHAnsi"/>
                <w:sz w:val="20"/>
                <w:szCs w:val="20"/>
              </w:rPr>
            </w:pPr>
          </w:p>
          <w:p w14:paraId="6F0E3AA8" w14:textId="5DF675FA" w:rsidR="00C4519B" w:rsidRPr="00FB1FAF" w:rsidRDefault="00C4519B" w:rsidP="00C4519B">
            <w:pPr>
              <w:rPr>
                <w:rFonts w:cstheme="minorHAnsi"/>
                <w:sz w:val="20"/>
                <w:szCs w:val="20"/>
              </w:rPr>
            </w:pPr>
            <w:r w:rsidRPr="000F1D17">
              <w:rPr>
                <w:rFonts w:cstheme="minorHAnsi"/>
                <w:b/>
                <w:bCs/>
                <w:sz w:val="20"/>
                <w:szCs w:val="20"/>
              </w:rPr>
              <w:t>RESOLVED:</w:t>
            </w:r>
            <w:r w:rsidRPr="000F1D17">
              <w:rPr>
                <w:rFonts w:cstheme="minorHAnsi"/>
                <w:sz w:val="20"/>
                <w:szCs w:val="20"/>
              </w:rPr>
              <w:t xml:space="preserve"> That the California Academy of Family Physicians advocate that SARS-Co-V2 vaccines be available to adolescents aged 12 years and older who desire vaccination without requiring consent from their legal guardians.</w:t>
            </w:r>
          </w:p>
        </w:tc>
      </w:tr>
      <w:tr w:rsidR="00C4519B" w:rsidRPr="000F1D17" w14:paraId="01080F30" w14:textId="77777777" w:rsidTr="007A2381">
        <w:tc>
          <w:tcPr>
            <w:tcW w:w="3042" w:type="dxa"/>
          </w:tcPr>
          <w:p w14:paraId="1AF05A83" w14:textId="77777777" w:rsidR="00C4519B" w:rsidRPr="000F1D17" w:rsidRDefault="00C4519B" w:rsidP="00C4519B">
            <w:pPr>
              <w:rPr>
                <w:b/>
                <w:sz w:val="20"/>
                <w:szCs w:val="20"/>
              </w:rPr>
            </w:pPr>
            <w:r w:rsidRPr="000F1D17">
              <w:rPr>
                <w:b/>
                <w:sz w:val="20"/>
                <w:szCs w:val="20"/>
              </w:rPr>
              <w:t>Recommended Actions and Progress Notes:</w:t>
            </w:r>
          </w:p>
        </w:tc>
        <w:tc>
          <w:tcPr>
            <w:tcW w:w="9908" w:type="dxa"/>
          </w:tcPr>
          <w:p w14:paraId="11CD0366" w14:textId="58AB00BC" w:rsidR="00C4519B" w:rsidRPr="000F1D17" w:rsidRDefault="00C4519B" w:rsidP="00C4519B">
            <w:pPr>
              <w:autoSpaceDE w:val="0"/>
              <w:autoSpaceDN w:val="0"/>
              <w:adjustRightInd w:val="0"/>
              <w:rPr>
                <w:rFonts w:cs="Calibri"/>
                <w:color w:val="000000"/>
                <w:sz w:val="20"/>
                <w:szCs w:val="20"/>
              </w:rPr>
            </w:pPr>
            <w:r w:rsidRPr="000F1D17">
              <w:rPr>
                <w:rFonts w:cs="Calibri"/>
                <w:sz w:val="20"/>
                <w:szCs w:val="20"/>
              </w:rPr>
              <w:t>BOD met on 4.22.22 and Adopted as written.</w:t>
            </w:r>
          </w:p>
        </w:tc>
      </w:tr>
      <w:tr w:rsidR="00C4519B" w:rsidRPr="000F1D17" w14:paraId="46A9CF9E" w14:textId="77777777" w:rsidTr="007A2381">
        <w:tc>
          <w:tcPr>
            <w:tcW w:w="3042" w:type="dxa"/>
          </w:tcPr>
          <w:p w14:paraId="2D3B6195" w14:textId="77777777" w:rsidR="00C4519B" w:rsidRPr="000F1D17" w:rsidRDefault="00C4519B" w:rsidP="00C4519B">
            <w:pPr>
              <w:rPr>
                <w:b/>
                <w:sz w:val="20"/>
                <w:szCs w:val="20"/>
              </w:rPr>
            </w:pPr>
            <w:r w:rsidRPr="000F1D17">
              <w:rPr>
                <w:b/>
                <w:sz w:val="20"/>
                <w:szCs w:val="20"/>
              </w:rPr>
              <w:t>Final Action:</w:t>
            </w:r>
          </w:p>
        </w:tc>
        <w:tc>
          <w:tcPr>
            <w:tcW w:w="9908" w:type="dxa"/>
          </w:tcPr>
          <w:p w14:paraId="2E106971" w14:textId="19D302CC" w:rsidR="00C4519B" w:rsidRPr="000F1D17" w:rsidRDefault="00C4519B" w:rsidP="00C4519B">
            <w:pPr>
              <w:rPr>
                <w:sz w:val="20"/>
                <w:szCs w:val="20"/>
              </w:rPr>
            </w:pPr>
            <w:r w:rsidRPr="000F1D17">
              <w:rPr>
                <w:sz w:val="20"/>
                <w:szCs w:val="20"/>
              </w:rPr>
              <w:t xml:space="preserve">BOD met on 4.22.22 and Adopted. </w:t>
            </w:r>
            <w:r w:rsidRPr="005E7CB8">
              <w:rPr>
                <w:sz w:val="20"/>
                <w:szCs w:val="20"/>
              </w:rPr>
              <w:t>Authors informed.</w:t>
            </w:r>
          </w:p>
        </w:tc>
      </w:tr>
      <w:tr w:rsidR="00C4519B" w:rsidRPr="000F1D17" w14:paraId="486A690E" w14:textId="77777777" w:rsidTr="006B2BD4">
        <w:tc>
          <w:tcPr>
            <w:tcW w:w="12950" w:type="dxa"/>
            <w:gridSpan w:val="2"/>
            <w:shd w:val="clear" w:color="auto" w:fill="D0CECE" w:themeFill="background2" w:themeFillShade="E6"/>
          </w:tcPr>
          <w:p w14:paraId="529C11F9" w14:textId="77777777" w:rsidR="00C4519B" w:rsidRPr="000F1D17" w:rsidRDefault="00C4519B" w:rsidP="00C4519B">
            <w:pPr>
              <w:rPr>
                <w:b/>
                <w:sz w:val="20"/>
                <w:szCs w:val="20"/>
              </w:rPr>
            </w:pPr>
          </w:p>
        </w:tc>
      </w:tr>
      <w:tr w:rsidR="00C4519B" w:rsidRPr="000F1D17" w14:paraId="565D9EC3" w14:textId="77777777" w:rsidTr="007A2381">
        <w:tc>
          <w:tcPr>
            <w:tcW w:w="3042" w:type="dxa"/>
          </w:tcPr>
          <w:p w14:paraId="087F29EF" w14:textId="77777777" w:rsidR="00C4519B" w:rsidRPr="000F1D17" w:rsidRDefault="00C4519B" w:rsidP="00C4519B">
            <w:pPr>
              <w:rPr>
                <w:b/>
                <w:sz w:val="20"/>
                <w:szCs w:val="20"/>
              </w:rPr>
            </w:pPr>
            <w:r w:rsidRPr="000F1D17">
              <w:rPr>
                <w:b/>
                <w:sz w:val="20"/>
                <w:szCs w:val="20"/>
              </w:rPr>
              <w:t xml:space="preserve">Resolution #/Title/Date Submitted </w:t>
            </w:r>
          </w:p>
        </w:tc>
        <w:tc>
          <w:tcPr>
            <w:tcW w:w="9908" w:type="dxa"/>
          </w:tcPr>
          <w:p w14:paraId="11787CEF" w14:textId="19E8247B" w:rsidR="00C4519B" w:rsidRPr="000F1D17" w:rsidRDefault="00C4519B" w:rsidP="00C4519B">
            <w:pPr>
              <w:rPr>
                <w:rFonts w:cs="Calibri"/>
                <w:b/>
                <w:bCs/>
                <w:color w:val="000000"/>
                <w:sz w:val="20"/>
                <w:szCs w:val="20"/>
              </w:rPr>
            </w:pPr>
            <w:r w:rsidRPr="000F1D17">
              <w:rPr>
                <w:b/>
                <w:sz w:val="20"/>
                <w:szCs w:val="20"/>
              </w:rPr>
              <w:t xml:space="preserve">A-04-22 – </w:t>
            </w:r>
            <w:r w:rsidRPr="000F1D17">
              <w:rPr>
                <w:b/>
                <w:bCs/>
                <w:noProof/>
                <w:sz w:val="20"/>
                <w:szCs w:val="20"/>
              </w:rPr>
              <w:t>Medication Assisted Treatment Training in Graduate Medical Education</w:t>
            </w:r>
          </w:p>
        </w:tc>
      </w:tr>
      <w:tr w:rsidR="00C4519B" w:rsidRPr="000F1D17" w14:paraId="0C71BBD6" w14:textId="77777777" w:rsidTr="007A2381">
        <w:trPr>
          <w:trHeight w:val="620"/>
        </w:trPr>
        <w:tc>
          <w:tcPr>
            <w:tcW w:w="3042" w:type="dxa"/>
          </w:tcPr>
          <w:p w14:paraId="60A072AF" w14:textId="77777777" w:rsidR="00C4519B" w:rsidRPr="000F1D17" w:rsidRDefault="00C4519B" w:rsidP="00C4519B">
            <w:pPr>
              <w:rPr>
                <w:b/>
                <w:sz w:val="20"/>
                <w:szCs w:val="20"/>
              </w:rPr>
            </w:pPr>
            <w:r w:rsidRPr="000F1D17">
              <w:rPr>
                <w:b/>
                <w:sz w:val="20"/>
                <w:szCs w:val="20"/>
              </w:rPr>
              <w:lastRenderedPageBreak/>
              <w:t>Original RESOLVEDS:</w:t>
            </w:r>
          </w:p>
        </w:tc>
        <w:tc>
          <w:tcPr>
            <w:tcW w:w="9908" w:type="dxa"/>
          </w:tcPr>
          <w:p w14:paraId="617624E1" w14:textId="7CF33240" w:rsidR="00C4519B" w:rsidRPr="000F1D17" w:rsidRDefault="00C4519B" w:rsidP="00C4519B">
            <w:pPr>
              <w:rPr>
                <w:sz w:val="20"/>
                <w:szCs w:val="20"/>
              </w:rPr>
            </w:pPr>
            <w:r w:rsidRPr="000F1D17">
              <w:rPr>
                <w:b/>
                <w:bCs/>
                <w:sz w:val="20"/>
                <w:szCs w:val="20"/>
              </w:rPr>
              <w:t>RESOLVED:</w:t>
            </w:r>
            <w:r w:rsidRPr="000F1D17">
              <w:rPr>
                <w:sz w:val="20"/>
                <w:szCs w:val="20"/>
              </w:rPr>
              <w:t xml:space="preserve"> That the CAFP/AAFP encourage ACGME to require substance use disorder curriculum, including medication assisted treatment (MAT) training, in family medicine residency programs.</w:t>
            </w:r>
          </w:p>
        </w:tc>
      </w:tr>
      <w:tr w:rsidR="00C4519B" w:rsidRPr="000F1D17" w14:paraId="1A4623B8" w14:textId="77777777" w:rsidTr="007A2381">
        <w:tc>
          <w:tcPr>
            <w:tcW w:w="3042" w:type="dxa"/>
          </w:tcPr>
          <w:p w14:paraId="023FAA08" w14:textId="77777777" w:rsidR="00C4519B" w:rsidRPr="000F1D17" w:rsidRDefault="00C4519B" w:rsidP="00C4519B">
            <w:pPr>
              <w:rPr>
                <w:b/>
                <w:sz w:val="20"/>
                <w:szCs w:val="20"/>
              </w:rPr>
            </w:pPr>
            <w:r w:rsidRPr="000F1D17">
              <w:rPr>
                <w:b/>
                <w:sz w:val="20"/>
                <w:szCs w:val="20"/>
              </w:rPr>
              <w:t>Recommended Actions and Progress Notes:</w:t>
            </w:r>
          </w:p>
        </w:tc>
        <w:tc>
          <w:tcPr>
            <w:tcW w:w="9908" w:type="dxa"/>
          </w:tcPr>
          <w:p w14:paraId="5F6AAB9A" w14:textId="214722B0" w:rsidR="00C4519B" w:rsidRPr="000F1D17" w:rsidRDefault="00C4519B" w:rsidP="00C4519B">
            <w:pPr>
              <w:rPr>
                <w:rFonts w:cs="Calibri"/>
                <w:sz w:val="20"/>
                <w:szCs w:val="20"/>
              </w:rPr>
            </w:pPr>
            <w:r w:rsidRPr="000F1D17">
              <w:rPr>
                <w:rFonts w:cs="Calibri"/>
                <w:sz w:val="20"/>
                <w:szCs w:val="20"/>
              </w:rPr>
              <w:t>BOD met on 4.22.22 and Adopted as written.</w:t>
            </w:r>
          </w:p>
        </w:tc>
      </w:tr>
      <w:tr w:rsidR="00C4519B" w:rsidRPr="000F1D17" w14:paraId="637B0323" w14:textId="77777777" w:rsidTr="007A2381">
        <w:tc>
          <w:tcPr>
            <w:tcW w:w="3042" w:type="dxa"/>
          </w:tcPr>
          <w:p w14:paraId="0FD4FC20" w14:textId="77777777" w:rsidR="00C4519B" w:rsidRPr="000F1D17" w:rsidRDefault="00C4519B" w:rsidP="00C4519B">
            <w:pPr>
              <w:rPr>
                <w:b/>
                <w:sz w:val="20"/>
                <w:szCs w:val="20"/>
              </w:rPr>
            </w:pPr>
            <w:r w:rsidRPr="000F1D17">
              <w:rPr>
                <w:b/>
                <w:sz w:val="20"/>
                <w:szCs w:val="20"/>
              </w:rPr>
              <w:t>Final Action:</w:t>
            </w:r>
          </w:p>
        </w:tc>
        <w:tc>
          <w:tcPr>
            <w:tcW w:w="9908" w:type="dxa"/>
          </w:tcPr>
          <w:p w14:paraId="65FE2FC2" w14:textId="656F1682" w:rsidR="00C4519B" w:rsidRPr="000F1D17" w:rsidRDefault="00C4519B" w:rsidP="00C4519B">
            <w:pPr>
              <w:rPr>
                <w:rFonts w:cstheme="minorHAnsi"/>
                <w:sz w:val="20"/>
                <w:szCs w:val="20"/>
              </w:rPr>
            </w:pPr>
            <w:r w:rsidRPr="000F1D17">
              <w:rPr>
                <w:sz w:val="20"/>
                <w:szCs w:val="20"/>
              </w:rPr>
              <w:t xml:space="preserve">BOD met on 4.22.22 and Adopted. </w:t>
            </w:r>
            <w:r w:rsidRPr="005E7CB8">
              <w:rPr>
                <w:sz w:val="20"/>
                <w:szCs w:val="20"/>
              </w:rPr>
              <w:t>Authors informed.</w:t>
            </w:r>
          </w:p>
        </w:tc>
      </w:tr>
      <w:tr w:rsidR="00C4519B" w:rsidRPr="000F1D17" w14:paraId="57DBC81D" w14:textId="77777777" w:rsidTr="006B2BD4">
        <w:tc>
          <w:tcPr>
            <w:tcW w:w="12950" w:type="dxa"/>
            <w:gridSpan w:val="2"/>
            <w:shd w:val="clear" w:color="auto" w:fill="D0CECE" w:themeFill="background2" w:themeFillShade="E6"/>
          </w:tcPr>
          <w:p w14:paraId="6DD6788E" w14:textId="77777777" w:rsidR="00C4519B" w:rsidRPr="000F1D17" w:rsidRDefault="00C4519B" w:rsidP="00C4519B">
            <w:pPr>
              <w:rPr>
                <w:b/>
                <w:sz w:val="20"/>
                <w:szCs w:val="20"/>
              </w:rPr>
            </w:pPr>
          </w:p>
        </w:tc>
      </w:tr>
      <w:tr w:rsidR="00C4519B" w:rsidRPr="000F1D17" w14:paraId="51D724B3" w14:textId="77777777" w:rsidTr="007A2381">
        <w:tc>
          <w:tcPr>
            <w:tcW w:w="3042" w:type="dxa"/>
          </w:tcPr>
          <w:p w14:paraId="6C650F88" w14:textId="77777777" w:rsidR="00C4519B" w:rsidRPr="000F1D17" w:rsidRDefault="00C4519B" w:rsidP="00C4519B">
            <w:pPr>
              <w:rPr>
                <w:b/>
                <w:sz w:val="20"/>
                <w:szCs w:val="20"/>
              </w:rPr>
            </w:pPr>
            <w:r w:rsidRPr="000F1D17">
              <w:rPr>
                <w:b/>
                <w:sz w:val="20"/>
                <w:szCs w:val="20"/>
              </w:rPr>
              <w:t xml:space="preserve">Resolution #/Title/Date Submitted </w:t>
            </w:r>
          </w:p>
        </w:tc>
        <w:tc>
          <w:tcPr>
            <w:tcW w:w="9908" w:type="dxa"/>
          </w:tcPr>
          <w:p w14:paraId="7C11CC4A" w14:textId="5D99827C" w:rsidR="00C4519B" w:rsidRPr="000F1D17" w:rsidRDefault="00C4519B" w:rsidP="00C4519B">
            <w:pPr>
              <w:rPr>
                <w:rFonts w:cs="Calibri"/>
                <w:b/>
                <w:bCs/>
                <w:color w:val="000000"/>
                <w:sz w:val="20"/>
                <w:szCs w:val="20"/>
              </w:rPr>
            </w:pPr>
            <w:r w:rsidRPr="000F1D17">
              <w:rPr>
                <w:b/>
                <w:sz w:val="20"/>
                <w:szCs w:val="20"/>
              </w:rPr>
              <w:t xml:space="preserve">A-05-22 – </w:t>
            </w:r>
            <w:r w:rsidRPr="000F1D17">
              <w:rPr>
                <w:b/>
                <w:bCs/>
                <w:noProof/>
                <w:sz w:val="20"/>
                <w:szCs w:val="20"/>
              </w:rPr>
              <w:t>Trauma Informed Care Curriculum Development for ACGME Training Programs</w:t>
            </w:r>
          </w:p>
        </w:tc>
      </w:tr>
      <w:tr w:rsidR="00C4519B" w:rsidRPr="000F1D17" w14:paraId="7FCE2C3A" w14:textId="77777777" w:rsidTr="00FB1FAF">
        <w:trPr>
          <w:trHeight w:val="575"/>
        </w:trPr>
        <w:tc>
          <w:tcPr>
            <w:tcW w:w="3042" w:type="dxa"/>
          </w:tcPr>
          <w:p w14:paraId="45A7BD92" w14:textId="77777777" w:rsidR="00C4519B" w:rsidRPr="000F1D17" w:rsidRDefault="00C4519B" w:rsidP="00C4519B">
            <w:pPr>
              <w:rPr>
                <w:b/>
                <w:sz w:val="20"/>
                <w:szCs w:val="20"/>
              </w:rPr>
            </w:pPr>
            <w:r w:rsidRPr="000F1D17">
              <w:rPr>
                <w:b/>
                <w:sz w:val="20"/>
                <w:szCs w:val="20"/>
              </w:rPr>
              <w:t>Original RESOLVEDS:</w:t>
            </w:r>
          </w:p>
        </w:tc>
        <w:tc>
          <w:tcPr>
            <w:tcW w:w="9908" w:type="dxa"/>
          </w:tcPr>
          <w:p w14:paraId="067CE0F1" w14:textId="3F156DDB" w:rsidR="00C4519B" w:rsidRPr="000F1D17" w:rsidRDefault="00C4519B" w:rsidP="00C4519B">
            <w:pPr>
              <w:rPr>
                <w:sz w:val="20"/>
                <w:szCs w:val="20"/>
              </w:rPr>
            </w:pPr>
            <w:r w:rsidRPr="000F1D17">
              <w:rPr>
                <w:b/>
                <w:bCs/>
                <w:sz w:val="20"/>
                <w:szCs w:val="20"/>
              </w:rPr>
              <w:t>RESOLVED:</w:t>
            </w:r>
            <w:r w:rsidRPr="000F1D17">
              <w:rPr>
                <w:sz w:val="20"/>
                <w:szCs w:val="20"/>
              </w:rPr>
              <w:t xml:space="preserve"> That CAFP/AAFP encourages collaboration with AAFP/STFM/ACGME in developing and standardizing a trauma-informed care (TIC) curriculum, including mandatory ACEs training, in family medicine residency programs.</w:t>
            </w:r>
          </w:p>
        </w:tc>
      </w:tr>
      <w:tr w:rsidR="00C4519B" w:rsidRPr="000F1D17" w14:paraId="55385B80" w14:textId="77777777" w:rsidTr="007A2381">
        <w:tc>
          <w:tcPr>
            <w:tcW w:w="3042" w:type="dxa"/>
          </w:tcPr>
          <w:p w14:paraId="2383B37E" w14:textId="77777777" w:rsidR="00C4519B" w:rsidRPr="000F1D17" w:rsidRDefault="00C4519B" w:rsidP="00C4519B">
            <w:pPr>
              <w:rPr>
                <w:b/>
                <w:sz w:val="20"/>
                <w:szCs w:val="20"/>
              </w:rPr>
            </w:pPr>
            <w:r w:rsidRPr="000F1D17">
              <w:rPr>
                <w:b/>
                <w:sz w:val="20"/>
                <w:szCs w:val="20"/>
              </w:rPr>
              <w:t>Recommended Actions and Progress Notes:</w:t>
            </w:r>
          </w:p>
        </w:tc>
        <w:tc>
          <w:tcPr>
            <w:tcW w:w="9908" w:type="dxa"/>
          </w:tcPr>
          <w:p w14:paraId="0E89BD85" w14:textId="3F8CF817" w:rsidR="00C4519B" w:rsidRPr="000F1D17" w:rsidRDefault="00C4519B" w:rsidP="00C4519B">
            <w:pPr>
              <w:rPr>
                <w:rFonts w:cs="Calibri"/>
                <w:sz w:val="20"/>
                <w:szCs w:val="20"/>
              </w:rPr>
            </w:pPr>
            <w:r w:rsidRPr="000F1D17">
              <w:rPr>
                <w:rFonts w:cs="Calibri"/>
                <w:sz w:val="20"/>
                <w:szCs w:val="20"/>
              </w:rPr>
              <w:t>BOD met on 4.22.22 and Adopted as written.</w:t>
            </w:r>
          </w:p>
        </w:tc>
      </w:tr>
      <w:tr w:rsidR="00C4519B" w:rsidRPr="000F1D17" w14:paraId="451811D0" w14:textId="77777777" w:rsidTr="007A2381">
        <w:tc>
          <w:tcPr>
            <w:tcW w:w="3042" w:type="dxa"/>
          </w:tcPr>
          <w:p w14:paraId="6E1B2293" w14:textId="77777777" w:rsidR="00C4519B" w:rsidRPr="000F1D17" w:rsidRDefault="00C4519B" w:rsidP="00C4519B">
            <w:pPr>
              <w:rPr>
                <w:b/>
                <w:sz w:val="20"/>
                <w:szCs w:val="20"/>
              </w:rPr>
            </w:pPr>
            <w:r w:rsidRPr="000F1D17">
              <w:rPr>
                <w:b/>
                <w:sz w:val="20"/>
                <w:szCs w:val="20"/>
              </w:rPr>
              <w:t>Final Action:</w:t>
            </w:r>
          </w:p>
        </w:tc>
        <w:tc>
          <w:tcPr>
            <w:tcW w:w="9908" w:type="dxa"/>
          </w:tcPr>
          <w:p w14:paraId="6AFB4878" w14:textId="35133E2A" w:rsidR="00C4519B" w:rsidRPr="000F1D17" w:rsidRDefault="00C4519B" w:rsidP="00C4519B">
            <w:pPr>
              <w:rPr>
                <w:noProof/>
                <w:sz w:val="20"/>
                <w:szCs w:val="20"/>
              </w:rPr>
            </w:pPr>
            <w:r w:rsidRPr="000F1D17">
              <w:rPr>
                <w:sz w:val="20"/>
                <w:szCs w:val="20"/>
              </w:rPr>
              <w:t xml:space="preserve">BOD met on 4.22.22 and Adopted. </w:t>
            </w:r>
            <w:r w:rsidRPr="005E7CB8">
              <w:rPr>
                <w:sz w:val="20"/>
                <w:szCs w:val="20"/>
              </w:rPr>
              <w:t>Authors informed.</w:t>
            </w:r>
          </w:p>
        </w:tc>
      </w:tr>
      <w:tr w:rsidR="00C4519B" w:rsidRPr="000F1D17" w14:paraId="2F407892" w14:textId="77777777" w:rsidTr="006B2BD4">
        <w:tc>
          <w:tcPr>
            <w:tcW w:w="12950" w:type="dxa"/>
            <w:gridSpan w:val="2"/>
            <w:shd w:val="clear" w:color="auto" w:fill="D0CECE" w:themeFill="background2" w:themeFillShade="E6"/>
          </w:tcPr>
          <w:p w14:paraId="6CF28761" w14:textId="77777777" w:rsidR="00C4519B" w:rsidRPr="000F1D17" w:rsidRDefault="00C4519B" w:rsidP="00C4519B">
            <w:pPr>
              <w:rPr>
                <w:b/>
                <w:sz w:val="20"/>
                <w:szCs w:val="20"/>
              </w:rPr>
            </w:pPr>
          </w:p>
        </w:tc>
      </w:tr>
      <w:tr w:rsidR="007114CC" w:rsidRPr="000F1D17" w14:paraId="0FADBAB8" w14:textId="77777777" w:rsidTr="005B4B98">
        <w:tc>
          <w:tcPr>
            <w:tcW w:w="3042" w:type="dxa"/>
          </w:tcPr>
          <w:p w14:paraId="0DE96BA3" w14:textId="77777777" w:rsidR="007114CC" w:rsidRPr="000F1D17" w:rsidRDefault="007114CC" w:rsidP="005B4B98">
            <w:pPr>
              <w:rPr>
                <w:b/>
                <w:sz w:val="20"/>
                <w:szCs w:val="20"/>
              </w:rPr>
            </w:pPr>
            <w:r w:rsidRPr="000F1D17">
              <w:rPr>
                <w:b/>
                <w:sz w:val="20"/>
                <w:szCs w:val="20"/>
              </w:rPr>
              <w:t>Resolution #/Title/Date Submitted</w:t>
            </w:r>
          </w:p>
        </w:tc>
        <w:tc>
          <w:tcPr>
            <w:tcW w:w="9908" w:type="dxa"/>
          </w:tcPr>
          <w:p w14:paraId="4ED2FFD7" w14:textId="77777777" w:rsidR="007114CC" w:rsidRPr="000F1D17" w:rsidRDefault="007114CC" w:rsidP="005B4B98">
            <w:pPr>
              <w:rPr>
                <w:b/>
                <w:sz w:val="20"/>
                <w:szCs w:val="20"/>
              </w:rPr>
            </w:pPr>
            <w:r w:rsidRPr="000F1D17">
              <w:rPr>
                <w:b/>
                <w:sz w:val="20"/>
                <w:szCs w:val="20"/>
              </w:rPr>
              <w:t>A-08-22 – Support California Fire Prevention, Safety, and Preparedness</w:t>
            </w:r>
          </w:p>
        </w:tc>
      </w:tr>
      <w:tr w:rsidR="007114CC" w:rsidRPr="000F1D17" w14:paraId="2061DF73" w14:textId="77777777" w:rsidTr="005B4B98">
        <w:tc>
          <w:tcPr>
            <w:tcW w:w="3042" w:type="dxa"/>
          </w:tcPr>
          <w:p w14:paraId="16E0CFA1" w14:textId="77777777" w:rsidR="007114CC" w:rsidRPr="000F1D17" w:rsidRDefault="007114CC" w:rsidP="005B4B98">
            <w:pPr>
              <w:rPr>
                <w:b/>
                <w:sz w:val="20"/>
                <w:szCs w:val="20"/>
              </w:rPr>
            </w:pPr>
            <w:r w:rsidRPr="000F1D17">
              <w:rPr>
                <w:b/>
                <w:sz w:val="20"/>
                <w:szCs w:val="20"/>
              </w:rPr>
              <w:t>Original RESOLVEDS:</w:t>
            </w:r>
          </w:p>
        </w:tc>
        <w:tc>
          <w:tcPr>
            <w:tcW w:w="9908" w:type="dxa"/>
          </w:tcPr>
          <w:p w14:paraId="498A2276" w14:textId="77777777" w:rsidR="007114CC" w:rsidRPr="000F1D17" w:rsidRDefault="007114CC" w:rsidP="005B4B98">
            <w:pPr>
              <w:rPr>
                <w:sz w:val="20"/>
                <w:szCs w:val="20"/>
              </w:rPr>
            </w:pPr>
            <w:r w:rsidRPr="000F1D17">
              <w:rPr>
                <w:b/>
                <w:bCs/>
                <w:sz w:val="20"/>
                <w:szCs w:val="20"/>
              </w:rPr>
              <w:t>RESOLVED:</w:t>
            </w:r>
            <w:r w:rsidRPr="000F1D17">
              <w:rPr>
                <w:sz w:val="20"/>
                <w:szCs w:val="20"/>
              </w:rPr>
              <w:t xml:space="preserve"> That the CAFP support the production of educational materials to prepare citizens for wildfires, such as on creating evacuation and meet-up plans, preparing fire preparedness kits, and prevention of wildfires, </w:t>
            </w:r>
          </w:p>
          <w:p w14:paraId="5358F3F0" w14:textId="77777777" w:rsidR="007114CC" w:rsidRPr="000F1D17" w:rsidRDefault="007114CC" w:rsidP="005B4B98">
            <w:pPr>
              <w:rPr>
                <w:sz w:val="20"/>
                <w:szCs w:val="20"/>
              </w:rPr>
            </w:pPr>
          </w:p>
          <w:p w14:paraId="16932DAF" w14:textId="77777777" w:rsidR="007114CC" w:rsidRPr="000F1D17" w:rsidRDefault="007114CC" w:rsidP="005B4B98">
            <w:pPr>
              <w:rPr>
                <w:sz w:val="20"/>
                <w:szCs w:val="20"/>
              </w:rPr>
            </w:pPr>
            <w:r w:rsidRPr="000F1D17">
              <w:rPr>
                <w:b/>
                <w:bCs/>
                <w:sz w:val="20"/>
                <w:szCs w:val="20"/>
              </w:rPr>
              <w:t>RESOLVED:</w:t>
            </w:r>
            <w:r w:rsidRPr="000F1D17">
              <w:rPr>
                <w:sz w:val="20"/>
                <w:szCs w:val="20"/>
              </w:rPr>
              <w:t xml:space="preserve"> That the CAFP support both local and state legislation that addresses wildfire prevention, </w:t>
            </w:r>
          </w:p>
          <w:p w14:paraId="274C50D7" w14:textId="77777777" w:rsidR="007114CC" w:rsidRPr="000F1D17" w:rsidRDefault="007114CC" w:rsidP="005B4B98">
            <w:pPr>
              <w:rPr>
                <w:sz w:val="20"/>
                <w:szCs w:val="20"/>
              </w:rPr>
            </w:pPr>
          </w:p>
          <w:p w14:paraId="35C61FC6" w14:textId="77777777" w:rsidR="007114CC" w:rsidRPr="000F1D17" w:rsidRDefault="007114CC" w:rsidP="005B4B98">
            <w:pPr>
              <w:rPr>
                <w:sz w:val="20"/>
                <w:szCs w:val="20"/>
              </w:rPr>
            </w:pPr>
            <w:r w:rsidRPr="000F1D17">
              <w:rPr>
                <w:b/>
                <w:bCs/>
                <w:sz w:val="20"/>
                <w:szCs w:val="20"/>
              </w:rPr>
              <w:t>RESOLVED:</w:t>
            </w:r>
            <w:r w:rsidRPr="000F1D17">
              <w:rPr>
                <w:sz w:val="20"/>
                <w:szCs w:val="20"/>
              </w:rPr>
              <w:t xml:space="preserve"> That the CAFP continue to support and advocate for legislation that overall decreases the effects of climate change, including the impact of the healthcare system on carbon emissions, </w:t>
            </w:r>
          </w:p>
          <w:p w14:paraId="0CBDB657" w14:textId="77777777" w:rsidR="007114CC" w:rsidRPr="000F1D17" w:rsidRDefault="007114CC" w:rsidP="005B4B98">
            <w:pPr>
              <w:rPr>
                <w:sz w:val="20"/>
                <w:szCs w:val="20"/>
              </w:rPr>
            </w:pPr>
          </w:p>
          <w:p w14:paraId="6508DF0D" w14:textId="77777777" w:rsidR="007114CC" w:rsidRPr="00FB1FAF" w:rsidRDefault="007114CC" w:rsidP="005B4B98">
            <w:pPr>
              <w:rPr>
                <w:sz w:val="20"/>
                <w:szCs w:val="20"/>
              </w:rPr>
            </w:pPr>
            <w:r w:rsidRPr="000F1D17">
              <w:rPr>
                <w:b/>
                <w:bCs/>
                <w:sz w:val="20"/>
                <w:szCs w:val="20"/>
              </w:rPr>
              <w:t>RESOLVED:</w:t>
            </w:r>
            <w:r w:rsidRPr="000F1D17">
              <w:rPr>
                <w:sz w:val="20"/>
                <w:szCs w:val="20"/>
              </w:rPr>
              <w:t xml:space="preserve"> That CAFP refer this to AAFP for national action as other states are also increasingly affected by wildfires.</w:t>
            </w:r>
          </w:p>
        </w:tc>
      </w:tr>
      <w:tr w:rsidR="007114CC" w:rsidRPr="000F1D17" w14:paraId="67BD9ABA" w14:textId="77777777" w:rsidTr="005B4B98">
        <w:tc>
          <w:tcPr>
            <w:tcW w:w="3042" w:type="dxa"/>
          </w:tcPr>
          <w:p w14:paraId="65C5FD91" w14:textId="77777777" w:rsidR="007114CC" w:rsidRPr="000F1D17" w:rsidRDefault="007114CC" w:rsidP="005B4B98">
            <w:pPr>
              <w:rPr>
                <w:sz w:val="20"/>
                <w:szCs w:val="20"/>
              </w:rPr>
            </w:pPr>
            <w:r w:rsidRPr="000F1D17">
              <w:rPr>
                <w:b/>
                <w:sz w:val="20"/>
                <w:szCs w:val="20"/>
              </w:rPr>
              <w:t>Recommended Actions and Progress Notes:</w:t>
            </w:r>
          </w:p>
        </w:tc>
        <w:tc>
          <w:tcPr>
            <w:tcW w:w="9908" w:type="dxa"/>
          </w:tcPr>
          <w:p w14:paraId="779D85C1" w14:textId="77777777" w:rsidR="007114CC" w:rsidRPr="000F1D17" w:rsidRDefault="007114CC" w:rsidP="005B4B98">
            <w:pPr>
              <w:rPr>
                <w:sz w:val="20"/>
                <w:szCs w:val="20"/>
              </w:rPr>
            </w:pPr>
            <w:r w:rsidRPr="000F1D17">
              <w:rPr>
                <w:sz w:val="20"/>
                <w:szCs w:val="20"/>
              </w:rPr>
              <w:t>BOD met on 4.22.22 and Adopted as amended below.</w:t>
            </w:r>
          </w:p>
          <w:p w14:paraId="71213465" w14:textId="77777777" w:rsidR="007114CC" w:rsidRPr="000F1D17" w:rsidRDefault="007114CC" w:rsidP="005B4B98">
            <w:pPr>
              <w:rPr>
                <w:sz w:val="20"/>
                <w:szCs w:val="20"/>
              </w:rPr>
            </w:pPr>
          </w:p>
          <w:p w14:paraId="21E40D7D" w14:textId="77777777" w:rsidR="007114CC" w:rsidRPr="000F1D17" w:rsidRDefault="007114CC" w:rsidP="005B4B98">
            <w:pPr>
              <w:rPr>
                <w:sz w:val="20"/>
                <w:szCs w:val="20"/>
              </w:rPr>
            </w:pPr>
            <w:r w:rsidRPr="000F1D17">
              <w:rPr>
                <w:b/>
                <w:bCs/>
                <w:sz w:val="20"/>
                <w:szCs w:val="20"/>
              </w:rPr>
              <w:t>RESOLVED:</w:t>
            </w:r>
            <w:r w:rsidRPr="000F1D17">
              <w:rPr>
                <w:sz w:val="20"/>
                <w:szCs w:val="20"/>
              </w:rPr>
              <w:t xml:space="preserve"> That the CAFP </w:t>
            </w:r>
            <w:r w:rsidRPr="000F1D17">
              <w:rPr>
                <w:bCs/>
                <w:sz w:val="20"/>
                <w:szCs w:val="20"/>
              </w:rPr>
              <w:t>distribute</w:t>
            </w:r>
            <w:r w:rsidRPr="000F1D17">
              <w:rPr>
                <w:sz w:val="20"/>
                <w:szCs w:val="20"/>
              </w:rPr>
              <w:t xml:space="preserve"> educational materials to prepare </w:t>
            </w:r>
            <w:r w:rsidRPr="000F1D17">
              <w:rPr>
                <w:bCs/>
                <w:sz w:val="20"/>
                <w:szCs w:val="20"/>
              </w:rPr>
              <w:t>members</w:t>
            </w:r>
            <w:r w:rsidRPr="000F1D17">
              <w:rPr>
                <w:sz w:val="20"/>
                <w:szCs w:val="20"/>
              </w:rPr>
              <w:t xml:space="preserve"> for wildfires, such as on creating evacuation and meet-up plans, preparing fire preparedness kits, and prevention of wildfires, </w:t>
            </w:r>
          </w:p>
          <w:p w14:paraId="44E6458F" w14:textId="77777777" w:rsidR="007114CC" w:rsidRPr="000F1D17" w:rsidRDefault="007114CC" w:rsidP="005B4B98">
            <w:pPr>
              <w:rPr>
                <w:sz w:val="20"/>
                <w:szCs w:val="20"/>
              </w:rPr>
            </w:pPr>
          </w:p>
          <w:p w14:paraId="51074DEC" w14:textId="77777777" w:rsidR="007114CC" w:rsidRPr="000F1D17" w:rsidRDefault="007114CC" w:rsidP="005B4B98">
            <w:pPr>
              <w:rPr>
                <w:sz w:val="20"/>
                <w:szCs w:val="20"/>
              </w:rPr>
            </w:pPr>
            <w:r w:rsidRPr="000F1D17">
              <w:rPr>
                <w:b/>
                <w:bCs/>
                <w:sz w:val="20"/>
                <w:szCs w:val="20"/>
              </w:rPr>
              <w:t>RESOLVED:</w:t>
            </w:r>
            <w:r w:rsidRPr="000F1D17">
              <w:rPr>
                <w:sz w:val="20"/>
                <w:szCs w:val="20"/>
              </w:rPr>
              <w:t xml:space="preserve"> That the CAFP support both local and state legislation that addresses wildfire prevention, </w:t>
            </w:r>
          </w:p>
          <w:p w14:paraId="204541CF" w14:textId="77777777" w:rsidR="007114CC" w:rsidRPr="000F1D17" w:rsidRDefault="007114CC" w:rsidP="005B4B98">
            <w:pPr>
              <w:rPr>
                <w:sz w:val="20"/>
                <w:szCs w:val="20"/>
              </w:rPr>
            </w:pPr>
          </w:p>
          <w:p w14:paraId="1BFA6B55" w14:textId="77777777" w:rsidR="007114CC" w:rsidRPr="000F1D17" w:rsidRDefault="007114CC" w:rsidP="005B4B98">
            <w:pPr>
              <w:rPr>
                <w:sz w:val="20"/>
                <w:szCs w:val="20"/>
              </w:rPr>
            </w:pPr>
            <w:r w:rsidRPr="000F1D17">
              <w:rPr>
                <w:b/>
                <w:bCs/>
                <w:sz w:val="20"/>
                <w:szCs w:val="20"/>
              </w:rPr>
              <w:t>RESOLVED:</w:t>
            </w:r>
            <w:r w:rsidRPr="000F1D17">
              <w:rPr>
                <w:sz w:val="20"/>
                <w:szCs w:val="20"/>
              </w:rPr>
              <w:t xml:space="preserve"> That the CAFP continue to support and advocate for legislation that overall decreases the effects of climate change, including the impact of the healthcare system on carbon emissions, </w:t>
            </w:r>
          </w:p>
          <w:p w14:paraId="70F45A24" w14:textId="77777777" w:rsidR="007114CC" w:rsidRPr="000F1D17" w:rsidRDefault="007114CC" w:rsidP="005B4B98">
            <w:pPr>
              <w:rPr>
                <w:sz w:val="20"/>
                <w:szCs w:val="20"/>
              </w:rPr>
            </w:pPr>
          </w:p>
          <w:p w14:paraId="6933151B" w14:textId="77777777" w:rsidR="007114CC" w:rsidRPr="00FB1FAF" w:rsidRDefault="007114CC" w:rsidP="005B4B98">
            <w:pPr>
              <w:rPr>
                <w:sz w:val="20"/>
                <w:szCs w:val="20"/>
              </w:rPr>
            </w:pPr>
            <w:r w:rsidRPr="000F1D17">
              <w:rPr>
                <w:b/>
                <w:bCs/>
                <w:sz w:val="20"/>
                <w:szCs w:val="20"/>
              </w:rPr>
              <w:t>RESOLVED:</w:t>
            </w:r>
            <w:r w:rsidRPr="000F1D17">
              <w:rPr>
                <w:sz w:val="20"/>
                <w:szCs w:val="20"/>
              </w:rPr>
              <w:t xml:space="preserve"> That CAFP refer this to AAFP for national action as other states are also increasingly affected by wildfires.</w:t>
            </w:r>
          </w:p>
        </w:tc>
      </w:tr>
      <w:tr w:rsidR="007114CC" w:rsidRPr="000F1D17" w14:paraId="63FF880D" w14:textId="77777777" w:rsidTr="005B4B98">
        <w:tc>
          <w:tcPr>
            <w:tcW w:w="3042" w:type="dxa"/>
          </w:tcPr>
          <w:p w14:paraId="6FE5BD51" w14:textId="77777777" w:rsidR="007114CC" w:rsidRPr="000F1D17" w:rsidRDefault="007114CC" w:rsidP="005B4B98">
            <w:pPr>
              <w:rPr>
                <w:sz w:val="20"/>
                <w:szCs w:val="20"/>
              </w:rPr>
            </w:pPr>
            <w:r w:rsidRPr="000F1D17">
              <w:rPr>
                <w:b/>
                <w:sz w:val="20"/>
                <w:szCs w:val="20"/>
              </w:rPr>
              <w:lastRenderedPageBreak/>
              <w:t>Final Action:</w:t>
            </w:r>
          </w:p>
        </w:tc>
        <w:tc>
          <w:tcPr>
            <w:tcW w:w="9908" w:type="dxa"/>
          </w:tcPr>
          <w:p w14:paraId="5B9CADE8" w14:textId="77777777" w:rsidR="007114CC" w:rsidRDefault="007114CC" w:rsidP="005B4B98">
            <w:pPr>
              <w:rPr>
                <w:rFonts w:eastAsia="Calibri" w:cs="Calibri"/>
                <w:bCs/>
                <w:color w:val="000000"/>
                <w:sz w:val="20"/>
                <w:szCs w:val="20"/>
              </w:rPr>
            </w:pPr>
            <w:r w:rsidRPr="000F1D17">
              <w:rPr>
                <w:rFonts w:eastAsia="Calibri" w:cs="Calibri"/>
                <w:bCs/>
                <w:color w:val="000000"/>
                <w:sz w:val="20"/>
                <w:szCs w:val="20"/>
              </w:rPr>
              <w:t xml:space="preserve">BOD met on 4.22.22 and Adopted as amended. </w:t>
            </w:r>
            <w:r w:rsidRPr="005E7CB8">
              <w:rPr>
                <w:rFonts w:eastAsia="Calibri" w:cs="Calibri"/>
                <w:bCs/>
                <w:color w:val="000000"/>
                <w:sz w:val="20"/>
                <w:szCs w:val="20"/>
              </w:rPr>
              <w:t>Authors informed.</w:t>
            </w:r>
            <w:r>
              <w:rPr>
                <w:rFonts w:eastAsia="Calibri" w:cs="Calibri"/>
                <w:bCs/>
                <w:color w:val="000000"/>
                <w:sz w:val="20"/>
                <w:szCs w:val="20"/>
              </w:rPr>
              <w:t xml:space="preserve"> Referred to AAFP COD for national action.</w:t>
            </w:r>
          </w:p>
          <w:p w14:paraId="24C88343" w14:textId="77777777" w:rsidR="007114CC" w:rsidRDefault="007114CC" w:rsidP="005B4B98">
            <w:pPr>
              <w:rPr>
                <w:rFonts w:eastAsia="Calibri" w:cs="Calibri"/>
                <w:bCs/>
                <w:color w:val="000000"/>
                <w:sz w:val="20"/>
                <w:szCs w:val="20"/>
              </w:rPr>
            </w:pPr>
          </w:p>
          <w:p w14:paraId="3B605CFC" w14:textId="77777777" w:rsidR="007114CC" w:rsidRPr="00804D99" w:rsidRDefault="007114CC" w:rsidP="005B4B98">
            <w:pPr>
              <w:rPr>
                <w:bCs/>
                <w:sz w:val="20"/>
                <w:szCs w:val="20"/>
              </w:rPr>
            </w:pPr>
            <w:r w:rsidRPr="00804D99">
              <w:rPr>
                <w:bCs/>
                <w:sz w:val="20"/>
                <w:szCs w:val="20"/>
              </w:rPr>
              <w:t>AAFP COD met in September 2022 and Adopted the following substitute resolution (201):</w:t>
            </w:r>
          </w:p>
          <w:p w14:paraId="7ADBF97F" w14:textId="77777777" w:rsidR="007114CC" w:rsidRPr="000F1D17" w:rsidRDefault="007114CC" w:rsidP="005B4B98">
            <w:pPr>
              <w:rPr>
                <w:b/>
                <w:bCs/>
                <w:sz w:val="20"/>
                <w:szCs w:val="20"/>
              </w:rPr>
            </w:pPr>
            <w:r w:rsidRPr="00804D99">
              <w:rPr>
                <w:b/>
                <w:bCs/>
                <w:sz w:val="20"/>
                <w:szCs w:val="20"/>
              </w:rPr>
              <w:t xml:space="preserve">Resolved, </w:t>
            </w:r>
            <w:r w:rsidRPr="00804D99">
              <w:rPr>
                <w:rFonts w:cs="Arial"/>
                <w:color w:val="222222"/>
                <w:sz w:val="20"/>
                <w:szCs w:val="20"/>
                <w:shd w:val="clear" w:color="auto" w:fill="FFFFFF"/>
              </w:rPr>
              <w:t>That the American Academy of Family Physicians distribute educational materials to prepare members for wildfires, including creating evacuation and meet-up plans, preparing fire preparedness kits, and prevention of wildfires.</w:t>
            </w:r>
            <w:r w:rsidRPr="00804D99">
              <w:rPr>
                <w:rFonts w:cs="Arial"/>
                <w:color w:val="222222"/>
                <w:sz w:val="20"/>
                <w:szCs w:val="20"/>
              </w:rPr>
              <w:br/>
            </w:r>
            <w:r w:rsidRPr="00804D99">
              <w:rPr>
                <w:rFonts w:cs="Arial"/>
                <w:color w:val="222222"/>
                <w:sz w:val="20"/>
                <w:szCs w:val="20"/>
              </w:rPr>
              <w:br/>
            </w:r>
            <w:r w:rsidRPr="00804D99">
              <w:rPr>
                <w:rFonts w:cs="Arial"/>
                <w:color w:val="222222"/>
                <w:sz w:val="20"/>
                <w:szCs w:val="20"/>
                <w:shd w:val="clear" w:color="auto" w:fill="FFFFFF"/>
              </w:rPr>
              <w:t>This resolution was referred to the AAFP Commission on Health of the Public and Science.</w:t>
            </w:r>
          </w:p>
        </w:tc>
      </w:tr>
      <w:tr w:rsidR="005B38DA" w:rsidRPr="000F1D17" w14:paraId="4E046B7E" w14:textId="77777777" w:rsidTr="005B4B98">
        <w:tc>
          <w:tcPr>
            <w:tcW w:w="3042" w:type="dxa"/>
          </w:tcPr>
          <w:p w14:paraId="59AC49AD" w14:textId="77777777" w:rsidR="005B38DA" w:rsidRPr="000F1D17" w:rsidRDefault="005B38DA" w:rsidP="005B38DA">
            <w:pPr>
              <w:rPr>
                <w:b/>
                <w:sz w:val="20"/>
                <w:szCs w:val="20"/>
              </w:rPr>
            </w:pPr>
          </w:p>
        </w:tc>
        <w:tc>
          <w:tcPr>
            <w:tcW w:w="9908" w:type="dxa"/>
          </w:tcPr>
          <w:p w14:paraId="41936131" w14:textId="77777777" w:rsidR="005B38DA" w:rsidRPr="000F1D17" w:rsidRDefault="005B38DA" w:rsidP="005B38DA">
            <w:pPr>
              <w:rPr>
                <w:rFonts w:eastAsia="Calibri" w:cs="Calibri"/>
                <w:bCs/>
                <w:color w:val="000000"/>
                <w:sz w:val="20"/>
                <w:szCs w:val="20"/>
              </w:rPr>
            </w:pPr>
          </w:p>
        </w:tc>
      </w:tr>
      <w:tr w:rsidR="005B38DA" w:rsidRPr="000F1D17" w14:paraId="232ED54C" w14:textId="77777777" w:rsidTr="005B4B98">
        <w:tc>
          <w:tcPr>
            <w:tcW w:w="3042" w:type="dxa"/>
          </w:tcPr>
          <w:p w14:paraId="4121C8B2" w14:textId="4F67D8C3" w:rsidR="005B38DA" w:rsidRPr="000F1D17" w:rsidRDefault="005B38DA" w:rsidP="005B38DA">
            <w:pPr>
              <w:rPr>
                <w:b/>
                <w:sz w:val="20"/>
                <w:szCs w:val="20"/>
              </w:rPr>
            </w:pPr>
            <w:r w:rsidRPr="000F1D17">
              <w:rPr>
                <w:b/>
                <w:sz w:val="20"/>
                <w:szCs w:val="20"/>
              </w:rPr>
              <w:t xml:space="preserve">Resolution #/Title/Date Submitted </w:t>
            </w:r>
          </w:p>
        </w:tc>
        <w:tc>
          <w:tcPr>
            <w:tcW w:w="9908" w:type="dxa"/>
          </w:tcPr>
          <w:p w14:paraId="481D32B3" w14:textId="5DF38FC6" w:rsidR="005B38DA" w:rsidRPr="000F1D17" w:rsidRDefault="005B38DA" w:rsidP="005B38DA">
            <w:pPr>
              <w:rPr>
                <w:rFonts w:eastAsia="Calibri" w:cs="Calibri"/>
                <w:bCs/>
                <w:color w:val="000000"/>
                <w:sz w:val="20"/>
                <w:szCs w:val="20"/>
              </w:rPr>
            </w:pPr>
            <w:r w:rsidRPr="000F1D17">
              <w:rPr>
                <w:b/>
                <w:sz w:val="20"/>
                <w:szCs w:val="20"/>
              </w:rPr>
              <w:t xml:space="preserve">A-09-22 - </w:t>
            </w:r>
            <w:r w:rsidRPr="000F1D17">
              <w:rPr>
                <w:rFonts w:cstheme="minorHAnsi"/>
                <w:b/>
                <w:sz w:val="20"/>
                <w:szCs w:val="20"/>
              </w:rPr>
              <w:t>Provide post-graduate training in transgender and gender diverse health education</w:t>
            </w:r>
          </w:p>
        </w:tc>
      </w:tr>
      <w:tr w:rsidR="005B38DA" w:rsidRPr="000F1D17" w14:paraId="5BEAB401" w14:textId="77777777" w:rsidTr="005B4B98">
        <w:tc>
          <w:tcPr>
            <w:tcW w:w="3042" w:type="dxa"/>
          </w:tcPr>
          <w:p w14:paraId="39390E44" w14:textId="63DF7E16" w:rsidR="005B38DA" w:rsidRPr="000F1D17" w:rsidRDefault="005B38DA" w:rsidP="005B38DA">
            <w:pPr>
              <w:rPr>
                <w:b/>
                <w:sz w:val="20"/>
                <w:szCs w:val="20"/>
              </w:rPr>
            </w:pPr>
            <w:r w:rsidRPr="000F1D17">
              <w:rPr>
                <w:b/>
                <w:sz w:val="20"/>
                <w:szCs w:val="20"/>
              </w:rPr>
              <w:t>Original RESOLVEDS:</w:t>
            </w:r>
          </w:p>
        </w:tc>
        <w:tc>
          <w:tcPr>
            <w:tcW w:w="9908" w:type="dxa"/>
          </w:tcPr>
          <w:p w14:paraId="0FF5060F" w14:textId="77777777" w:rsidR="005B38DA" w:rsidRPr="000F1D17" w:rsidRDefault="005B38DA" w:rsidP="005B38DA">
            <w:pPr>
              <w:rPr>
                <w:sz w:val="20"/>
                <w:szCs w:val="20"/>
              </w:rPr>
            </w:pPr>
            <w:r w:rsidRPr="000F1D17">
              <w:rPr>
                <w:b/>
                <w:bCs/>
                <w:sz w:val="20"/>
                <w:szCs w:val="20"/>
              </w:rPr>
              <w:t xml:space="preserve">RESOLVED: </w:t>
            </w:r>
            <w:r w:rsidRPr="000F1D17">
              <w:rPr>
                <w:sz w:val="20"/>
                <w:szCs w:val="20"/>
              </w:rPr>
              <w:t xml:space="preserve">That the CAFP will work with the California Medical Board and the American Board of Family Medicine to establish a minimum number of required educational hours on transgender and gender diverse care for continued physician licensure. </w:t>
            </w:r>
          </w:p>
          <w:p w14:paraId="45F62EC9" w14:textId="77777777" w:rsidR="005B38DA" w:rsidRPr="000F1D17" w:rsidRDefault="005B38DA" w:rsidP="005B38DA">
            <w:pPr>
              <w:rPr>
                <w:sz w:val="20"/>
                <w:szCs w:val="20"/>
              </w:rPr>
            </w:pPr>
          </w:p>
          <w:p w14:paraId="5CE51886" w14:textId="106DBDD9" w:rsidR="005B38DA" w:rsidRPr="000F1D17" w:rsidRDefault="005B38DA" w:rsidP="005B38DA">
            <w:pPr>
              <w:rPr>
                <w:rFonts w:eastAsia="Calibri" w:cs="Calibri"/>
                <w:bCs/>
                <w:color w:val="000000"/>
                <w:sz w:val="20"/>
                <w:szCs w:val="20"/>
              </w:rPr>
            </w:pPr>
            <w:r w:rsidRPr="000F1D17">
              <w:rPr>
                <w:b/>
                <w:bCs/>
                <w:sz w:val="20"/>
                <w:szCs w:val="20"/>
              </w:rPr>
              <w:t>RESOLVED:</w:t>
            </w:r>
            <w:r w:rsidRPr="000F1D17">
              <w:rPr>
                <w:sz w:val="20"/>
                <w:szCs w:val="20"/>
              </w:rPr>
              <w:t xml:space="preserve"> That the CAFP will collaborate with the AAFP, and the ABFM, to create new, innovative, interactive sources of education on transgender and gender diverse care. This can include support for the creation of LGBTQIA+ fellowships for family medicine physicians, knowledge self-assessment activities, and live/virtual CME on core topics such as gender identity, implicit bias, mental health, hormone therapy, and gender-affirming surgery.</w:t>
            </w:r>
          </w:p>
        </w:tc>
      </w:tr>
      <w:tr w:rsidR="005B38DA" w:rsidRPr="000F1D17" w14:paraId="32E0B44E" w14:textId="77777777" w:rsidTr="005B4B98">
        <w:tc>
          <w:tcPr>
            <w:tcW w:w="3042" w:type="dxa"/>
          </w:tcPr>
          <w:p w14:paraId="77E0C77D" w14:textId="5D18E5BA" w:rsidR="005B38DA" w:rsidRPr="000F1D17" w:rsidRDefault="005B38DA" w:rsidP="005B38DA">
            <w:pPr>
              <w:rPr>
                <w:b/>
                <w:sz w:val="20"/>
                <w:szCs w:val="20"/>
              </w:rPr>
            </w:pPr>
            <w:r w:rsidRPr="000F1D17">
              <w:rPr>
                <w:b/>
                <w:sz w:val="20"/>
                <w:szCs w:val="20"/>
              </w:rPr>
              <w:t>Recommended Actions and Progress Notes:</w:t>
            </w:r>
          </w:p>
        </w:tc>
        <w:tc>
          <w:tcPr>
            <w:tcW w:w="9908" w:type="dxa"/>
          </w:tcPr>
          <w:p w14:paraId="0551EC3E" w14:textId="1F31FDBE" w:rsidR="005B38DA" w:rsidRPr="000F1D17" w:rsidRDefault="005B38DA" w:rsidP="005B38DA">
            <w:pPr>
              <w:rPr>
                <w:rFonts w:eastAsia="Calibri" w:cs="Calibri"/>
                <w:bCs/>
                <w:color w:val="000000"/>
                <w:sz w:val="20"/>
                <w:szCs w:val="20"/>
              </w:rPr>
            </w:pPr>
            <w:r w:rsidRPr="000F1D17">
              <w:rPr>
                <w:rFonts w:eastAsia="Calibri" w:cs="Calibri"/>
                <w:bCs/>
                <w:color w:val="000000"/>
                <w:sz w:val="20"/>
                <w:szCs w:val="20"/>
              </w:rPr>
              <w:t xml:space="preserve">BOD met on 4.22.22 and referred to the Committee on Continuing Professional Development (CCPD), for report back to the Board at the July 2022 Board meeting. </w:t>
            </w:r>
            <w:r w:rsidRPr="005E7CB8">
              <w:rPr>
                <w:rFonts w:eastAsia="Calibri" w:cs="Calibri"/>
                <w:bCs/>
                <w:color w:val="000000"/>
                <w:sz w:val="20"/>
                <w:szCs w:val="20"/>
              </w:rPr>
              <w:t>Authors informed.</w:t>
            </w:r>
          </w:p>
        </w:tc>
      </w:tr>
      <w:tr w:rsidR="005B38DA" w:rsidRPr="000F1D17" w14:paraId="3C38848A" w14:textId="77777777" w:rsidTr="005B4B98">
        <w:tc>
          <w:tcPr>
            <w:tcW w:w="3042" w:type="dxa"/>
          </w:tcPr>
          <w:p w14:paraId="1F9B3E0A" w14:textId="5BE02E73" w:rsidR="005B38DA" w:rsidRPr="000F1D17" w:rsidRDefault="005B38DA" w:rsidP="005B38DA">
            <w:pPr>
              <w:rPr>
                <w:b/>
                <w:sz w:val="20"/>
                <w:szCs w:val="20"/>
              </w:rPr>
            </w:pPr>
            <w:r w:rsidRPr="000F1D17">
              <w:rPr>
                <w:b/>
                <w:sz w:val="20"/>
                <w:szCs w:val="20"/>
              </w:rPr>
              <w:t>Final Action:</w:t>
            </w:r>
          </w:p>
        </w:tc>
        <w:tc>
          <w:tcPr>
            <w:tcW w:w="9908" w:type="dxa"/>
          </w:tcPr>
          <w:p w14:paraId="4262D61B" w14:textId="77777777" w:rsidR="005B38DA" w:rsidRPr="00D0301C" w:rsidRDefault="005B38DA" w:rsidP="005B38DA">
            <w:pPr>
              <w:rPr>
                <w:sz w:val="20"/>
                <w:szCs w:val="20"/>
              </w:rPr>
            </w:pPr>
            <w:r w:rsidRPr="00D0301C">
              <w:rPr>
                <w:sz w:val="20"/>
                <w:szCs w:val="20"/>
              </w:rPr>
              <w:t xml:space="preserve">BOD met on 7.23.22 and Adopted as Amended below. Authors informed. Referred to AAFP COD for national action. </w:t>
            </w:r>
          </w:p>
          <w:p w14:paraId="64BCABF6" w14:textId="77777777" w:rsidR="005B38DA" w:rsidRPr="00D0301C" w:rsidRDefault="005B38DA" w:rsidP="005B38DA">
            <w:pPr>
              <w:rPr>
                <w:b/>
                <w:sz w:val="20"/>
                <w:szCs w:val="20"/>
              </w:rPr>
            </w:pPr>
          </w:p>
          <w:p w14:paraId="351DFA9F" w14:textId="77777777" w:rsidR="005B38DA" w:rsidRDefault="005B38DA" w:rsidP="005B38DA">
            <w:pPr>
              <w:rPr>
                <w:rFonts w:cstheme="minorHAnsi"/>
                <w:sz w:val="22"/>
                <w:szCs w:val="22"/>
              </w:rPr>
            </w:pPr>
            <w:r w:rsidRPr="00D0301C">
              <w:rPr>
                <w:rFonts w:cstheme="minorHAnsi"/>
                <w:b/>
                <w:bCs/>
                <w:sz w:val="22"/>
                <w:szCs w:val="22"/>
              </w:rPr>
              <w:t>Resolved</w:t>
            </w:r>
            <w:r w:rsidRPr="00D0301C">
              <w:rPr>
                <w:rFonts w:cstheme="minorHAnsi"/>
                <w:sz w:val="22"/>
                <w:szCs w:val="22"/>
              </w:rPr>
              <w:t>: That CAFP present a session at the 2023 Annual CME Meeting on gender expansive care and revisit the topic annually when reviewing educational activities for members. That CAFP encourage AAFP to present education on this topic by presenting a resolution to AAFP to include gender expansive care sessions at the annual FMX conference.</w:t>
            </w:r>
          </w:p>
          <w:p w14:paraId="5A248212" w14:textId="77777777" w:rsidR="005B38DA" w:rsidRDefault="005B38DA" w:rsidP="005B38DA">
            <w:pPr>
              <w:rPr>
                <w:rFonts w:cstheme="minorHAnsi"/>
                <w:sz w:val="22"/>
                <w:szCs w:val="22"/>
              </w:rPr>
            </w:pPr>
            <w:bookmarkStart w:id="0" w:name="_GoBack"/>
            <w:bookmarkEnd w:id="0"/>
          </w:p>
          <w:p w14:paraId="21A7C4E0" w14:textId="459EE459" w:rsidR="005B38DA" w:rsidRPr="000F1D17" w:rsidRDefault="005B38DA" w:rsidP="005B38DA">
            <w:pPr>
              <w:rPr>
                <w:rFonts w:eastAsia="Calibri" w:cs="Calibri"/>
                <w:bCs/>
                <w:color w:val="000000"/>
                <w:sz w:val="20"/>
                <w:szCs w:val="20"/>
              </w:rPr>
            </w:pPr>
            <w:r w:rsidRPr="00804D99">
              <w:rPr>
                <w:rFonts w:cstheme="minorHAnsi"/>
                <w:sz w:val="20"/>
                <w:szCs w:val="20"/>
              </w:rPr>
              <w:t xml:space="preserve">AAFP COD met in September 2022. The AAFP Rules Committee </w:t>
            </w:r>
            <w:r w:rsidRPr="00804D99">
              <w:rPr>
                <w:rFonts w:cs="Arial"/>
                <w:color w:val="222222"/>
                <w:sz w:val="20"/>
                <w:szCs w:val="20"/>
                <w:shd w:val="clear" w:color="auto" w:fill="FFFFFF"/>
              </w:rPr>
              <w:t>determined this resolution was current policy so it was placed on the Rules Committee report. The resolution was not extracted so it was deemed current policy and no further action will be taken on this resolution.</w:t>
            </w:r>
          </w:p>
        </w:tc>
      </w:tr>
      <w:tr w:rsidR="005B38DA" w:rsidRPr="000F1D17" w14:paraId="43FCB6C0" w14:textId="77777777" w:rsidTr="00112360">
        <w:tc>
          <w:tcPr>
            <w:tcW w:w="12950" w:type="dxa"/>
            <w:gridSpan w:val="2"/>
            <w:shd w:val="clear" w:color="auto" w:fill="FF0000"/>
          </w:tcPr>
          <w:p w14:paraId="747EEAA5" w14:textId="611E8E4F" w:rsidR="005B38DA" w:rsidRPr="000F1D17" w:rsidRDefault="005B38DA" w:rsidP="005B38DA">
            <w:pPr>
              <w:rPr>
                <w:b/>
                <w:sz w:val="20"/>
                <w:szCs w:val="20"/>
              </w:rPr>
            </w:pPr>
            <w:r w:rsidRPr="000F1D17">
              <w:rPr>
                <w:b/>
                <w:sz w:val="20"/>
                <w:szCs w:val="20"/>
              </w:rPr>
              <w:t>RED:  Resolutions NOT ADOPTED by the CAFP Board of Directors</w:t>
            </w:r>
          </w:p>
        </w:tc>
      </w:tr>
      <w:tr w:rsidR="005B38DA" w:rsidRPr="000F1D17" w14:paraId="36F28BC6" w14:textId="77777777" w:rsidTr="00CD4BC7">
        <w:tc>
          <w:tcPr>
            <w:tcW w:w="3042" w:type="dxa"/>
            <w:shd w:val="clear" w:color="auto" w:fill="FFFFFF" w:themeFill="background1"/>
          </w:tcPr>
          <w:p w14:paraId="36A180EA" w14:textId="301EEF92" w:rsidR="005B38DA" w:rsidRPr="000F1D17" w:rsidRDefault="005B38DA" w:rsidP="005B38DA">
            <w:pPr>
              <w:rPr>
                <w:b/>
                <w:sz w:val="20"/>
                <w:szCs w:val="20"/>
              </w:rPr>
            </w:pPr>
            <w:r w:rsidRPr="000F1D17">
              <w:rPr>
                <w:b/>
                <w:sz w:val="20"/>
                <w:szCs w:val="20"/>
              </w:rPr>
              <w:t>Resolution #/Title/Date Submitted</w:t>
            </w:r>
          </w:p>
        </w:tc>
        <w:tc>
          <w:tcPr>
            <w:tcW w:w="9908" w:type="dxa"/>
            <w:shd w:val="clear" w:color="auto" w:fill="FFFFFF" w:themeFill="background1"/>
          </w:tcPr>
          <w:p w14:paraId="6CDB5FAE" w14:textId="26575760" w:rsidR="005B38DA" w:rsidRPr="000F1D17" w:rsidRDefault="005B38DA" w:rsidP="005B38DA">
            <w:pPr>
              <w:rPr>
                <w:b/>
                <w:bCs/>
                <w:noProof/>
                <w:sz w:val="20"/>
                <w:szCs w:val="20"/>
              </w:rPr>
            </w:pPr>
            <w:r w:rsidRPr="000F1D17">
              <w:rPr>
                <w:b/>
                <w:sz w:val="20"/>
                <w:szCs w:val="20"/>
              </w:rPr>
              <w:t xml:space="preserve">A-06-22 – </w:t>
            </w:r>
            <w:r w:rsidRPr="000F1D17">
              <w:rPr>
                <w:b/>
                <w:bCs/>
                <w:noProof/>
                <w:sz w:val="20"/>
                <w:szCs w:val="20"/>
              </w:rPr>
              <w:t>CAFP Support for AB 1400, California Guaranteed Health Care for All Act (CalCare)</w:t>
            </w:r>
          </w:p>
        </w:tc>
      </w:tr>
      <w:tr w:rsidR="005B38DA" w:rsidRPr="000F1D17" w14:paraId="665AC7F1" w14:textId="77777777" w:rsidTr="00CD4BC7">
        <w:tc>
          <w:tcPr>
            <w:tcW w:w="3042" w:type="dxa"/>
            <w:shd w:val="clear" w:color="auto" w:fill="FFFFFF" w:themeFill="background1"/>
          </w:tcPr>
          <w:p w14:paraId="79BCE8C4" w14:textId="2DD96DE3" w:rsidR="005B38DA" w:rsidRPr="000F1D17" w:rsidRDefault="005B38DA" w:rsidP="005B38DA">
            <w:pPr>
              <w:rPr>
                <w:b/>
                <w:sz w:val="20"/>
                <w:szCs w:val="20"/>
              </w:rPr>
            </w:pPr>
            <w:r w:rsidRPr="000F1D17">
              <w:rPr>
                <w:b/>
                <w:sz w:val="20"/>
                <w:szCs w:val="20"/>
              </w:rPr>
              <w:t>Original RESOLVEDS:</w:t>
            </w:r>
          </w:p>
        </w:tc>
        <w:tc>
          <w:tcPr>
            <w:tcW w:w="9908" w:type="dxa"/>
            <w:shd w:val="clear" w:color="auto" w:fill="FFFFFF" w:themeFill="background1"/>
          </w:tcPr>
          <w:p w14:paraId="5F3A9B0A" w14:textId="3FD94D1C" w:rsidR="005B38DA" w:rsidRPr="000F1D17" w:rsidRDefault="005B38DA" w:rsidP="005B38DA">
            <w:pPr>
              <w:rPr>
                <w:sz w:val="20"/>
                <w:szCs w:val="20"/>
              </w:rPr>
            </w:pPr>
            <w:r w:rsidRPr="000F1D17">
              <w:rPr>
                <w:b/>
                <w:bCs/>
                <w:sz w:val="20"/>
                <w:szCs w:val="20"/>
              </w:rPr>
              <w:t xml:space="preserve">RESOLVED: </w:t>
            </w:r>
            <w:r w:rsidRPr="000F1D17">
              <w:rPr>
                <w:sz w:val="20"/>
                <w:szCs w:val="20"/>
              </w:rPr>
              <w:t>That the California Academy of Family Physicians expresses its support for universal access to comprehensive, affordable, high quality health care through a single payer health program at the n</w:t>
            </w:r>
            <w:r>
              <w:rPr>
                <w:sz w:val="20"/>
                <w:szCs w:val="20"/>
              </w:rPr>
              <w:t>ational and/or state level.</w:t>
            </w:r>
            <w:r w:rsidRPr="000F1D17" w:rsidDel="005E7CB8">
              <w:rPr>
                <w:sz w:val="20"/>
                <w:szCs w:val="20"/>
              </w:rPr>
              <w:t xml:space="preserve"> </w:t>
            </w:r>
          </w:p>
        </w:tc>
      </w:tr>
      <w:tr w:rsidR="005B38DA" w:rsidRPr="000F1D17" w14:paraId="4AC3C38D" w14:textId="77777777" w:rsidTr="00CD4BC7">
        <w:tc>
          <w:tcPr>
            <w:tcW w:w="3042" w:type="dxa"/>
            <w:shd w:val="clear" w:color="auto" w:fill="FFFFFF" w:themeFill="background1"/>
          </w:tcPr>
          <w:p w14:paraId="386CCF80" w14:textId="095959A3" w:rsidR="005B38DA" w:rsidRPr="000F1D17" w:rsidRDefault="005B38DA" w:rsidP="005B38DA">
            <w:pPr>
              <w:rPr>
                <w:b/>
                <w:sz w:val="20"/>
                <w:szCs w:val="20"/>
              </w:rPr>
            </w:pPr>
            <w:r w:rsidRPr="000F1D17">
              <w:rPr>
                <w:b/>
                <w:sz w:val="20"/>
                <w:szCs w:val="20"/>
              </w:rPr>
              <w:lastRenderedPageBreak/>
              <w:t>Recommended Actions and Progress Notes:</w:t>
            </w:r>
          </w:p>
        </w:tc>
        <w:tc>
          <w:tcPr>
            <w:tcW w:w="9908" w:type="dxa"/>
            <w:shd w:val="clear" w:color="auto" w:fill="FFFFFF" w:themeFill="background1"/>
          </w:tcPr>
          <w:p w14:paraId="498DF47C" w14:textId="4853AD83" w:rsidR="005B38DA" w:rsidRPr="000F1D17" w:rsidRDefault="005B38DA" w:rsidP="005B38DA">
            <w:pPr>
              <w:rPr>
                <w:rFonts w:cstheme="minorHAnsi"/>
                <w:b/>
                <w:bCs/>
                <w:sz w:val="20"/>
                <w:szCs w:val="20"/>
              </w:rPr>
            </w:pPr>
            <w:r w:rsidRPr="000F1D17">
              <w:rPr>
                <w:sz w:val="20"/>
                <w:szCs w:val="20"/>
              </w:rPr>
              <w:t xml:space="preserve">The BOD met on 4.22.22and did not adopt. </w:t>
            </w:r>
          </w:p>
          <w:p w14:paraId="41613F3C" w14:textId="38B61E1A" w:rsidR="005B38DA" w:rsidRPr="000F1D17" w:rsidRDefault="005B38DA" w:rsidP="005B38DA">
            <w:pPr>
              <w:shd w:val="clear" w:color="auto" w:fill="FFFFFF"/>
              <w:rPr>
                <w:rFonts w:eastAsia="Times New Roman" w:cs="Times New Roman"/>
                <w:color w:val="222222"/>
                <w:sz w:val="20"/>
                <w:szCs w:val="20"/>
              </w:rPr>
            </w:pPr>
          </w:p>
        </w:tc>
      </w:tr>
      <w:tr w:rsidR="005B38DA" w:rsidRPr="000F1D17" w14:paraId="7FC428B9" w14:textId="77777777" w:rsidTr="00CD4BC7">
        <w:tc>
          <w:tcPr>
            <w:tcW w:w="3042" w:type="dxa"/>
            <w:shd w:val="clear" w:color="auto" w:fill="FFFFFF" w:themeFill="background1"/>
          </w:tcPr>
          <w:p w14:paraId="389104A5" w14:textId="43D07039" w:rsidR="005B38DA" w:rsidRPr="000F1D17" w:rsidRDefault="005B38DA" w:rsidP="005B38DA">
            <w:pPr>
              <w:rPr>
                <w:b/>
                <w:sz w:val="20"/>
                <w:szCs w:val="20"/>
              </w:rPr>
            </w:pPr>
            <w:r w:rsidRPr="000F1D17">
              <w:rPr>
                <w:b/>
                <w:sz w:val="20"/>
                <w:szCs w:val="20"/>
              </w:rPr>
              <w:t>Final Action:</w:t>
            </w:r>
          </w:p>
        </w:tc>
        <w:tc>
          <w:tcPr>
            <w:tcW w:w="9908" w:type="dxa"/>
            <w:shd w:val="clear" w:color="auto" w:fill="FFFFFF" w:themeFill="background1"/>
          </w:tcPr>
          <w:p w14:paraId="2E6BFC8B" w14:textId="16740A9C" w:rsidR="005B38DA" w:rsidRPr="000F1D17" w:rsidRDefault="005B38DA" w:rsidP="005B38DA">
            <w:pPr>
              <w:rPr>
                <w:sz w:val="20"/>
                <w:szCs w:val="20"/>
              </w:rPr>
            </w:pPr>
            <w:r w:rsidRPr="000F1D17">
              <w:rPr>
                <w:sz w:val="20"/>
                <w:szCs w:val="20"/>
              </w:rPr>
              <w:t>BOD met on 4.22.22</w:t>
            </w:r>
            <w:r w:rsidRPr="000F1D17">
              <w:rPr>
                <w:rFonts w:cs="Calibri"/>
                <w:sz w:val="20"/>
                <w:szCs w:val="20"/>
              </w:rPr>
              <w:t xml:space="preserve"> and did not adopt the resolution</w:t>
            </w:r>
            <w:r w:rsidRPr="005E7CB8">
              <w:rPr>
                <w:rFonts w:cs="Calibri"/>
                <w:sz w:val="20"/>
                <w:szCs w:val="20"/>
                <w:shd w:val="clear" w:color="auto" w:fill="FFFFFF" w:themeFill="background1"/>
              </w:rPr>
              <w:t xml:space="preserve">. </w:t>
            </w:r>
            <w:r w:rsidRPr="005E7CB8">
              <w:rPr>
                <w:rFonts w:cstheme="minorHAnsi"/>
                <w:sz w:val="20"/>
                <w:szCs w:val="20"/>
                <w:shd w:val="clear" w:color="auto" w:fill="FFFFFF" w:themeFill="background1"/>
              </w:rPr>
              <w:t xml:space="preserve">Current CAFP policy allows for multiple approaches to health care reform which gives CAFP the flexibility to take into consideration many policy and political factors.  This resolution would limit CAFP’s ability to support other health care reform proposals that could promote </w:t>
            </w:r>
            <w:r w:rsidRPr="005E7CB8">
              <w:rPr>
                <w:bCs/>
                <w:sz w:val="20"/>
                <w:szCs w:val="20"/>
                <w:shd w:val="clear" w:color="auto" w:fill="FFFFFF" w:themeFill="background1"/>
              </w:rPr>
              <w:t>universal access to comprehensive, affordable, high quality health care</w:t>
            </w:r>
            <w:r w:rsidRPr="005E7CB8">
              <w:rPr>
                <w:rFonts w:cstheme="minorHAnsi"/>
                <w:bCs/>
                <w:sz w:val="20"/>
                <w:szCs w:val="20"/>
                <w:shd w:val="clear" w:color="auto" w:fill="FFFFFF" w:themeFill="background1"/>
              </w:rPr>
              <w:t xml:space="preserve">. </w:t>
            </w:r>
            <w:r w:rsidRPr="005E7CB8">
              <w:rPr>
                <w:rFonts w:cs="Calibri"/>
                <w:sz w:val="20"/>
                <w:szCs w:val="20"/>
              </w:rPr>
              <w:t>Authors informed.</w:t>
            </w:r>
          </w:p>
        </w:tc>
      </w:tr>
      <w:tr w:rsidR="005B38DA" w:rsidRPr="000F1D17" w14:paraId="024C8EA5" w14:textId="77777777" w:rsidTr="00CD4BC7">
        <w:tc>
          <w:tcPr>
            <w:tcW w:w="3042" w:type="dxa"/>
            <w:shd w:val="clear" w:color="auto" w:fill="D0CECE" w:themeFill="background2" w:themeFillShade="E6"/>
          </w:tcPr>
          <w:p w14:paraId="5BBC291C" w14:textId="77777777" w:rsidR="005B38DA" w:rsidRPr="000F1D17" w:rsidRDefault="005B38DA" w:rsidP="005B38DA">
            <w:pPr>
              <w:rPr>
                <w:b/>
                <w:sz w:val="20"/>
                <w:szCs w:val="20"/>
              </w:rPr>
            </w:pPr>
          </w:p>
        </w:tc>
        <w:tc>
          <w:tcPr>
            <w:tcW w:w="9908" w:type="dxa"/>
            <w:shd w:val="clear" w:color="auto" w:fill="D0CECE" w:themeFill="background2" w:themeFillShade="E6"/>
          </w:tcPr>
          <w:p w14:paraId="5C820026" w14:textId="77777777" w:rsidR="005B38DA" w:rsidRPr="000F1D17" w:rsidRDefault="005B38DA" w:rsidP="005B38DA">
            <w:pPr>
              <w:rPr>
                <w:sz w:val="20"/>
                <w:szCs w:val="20"/>
              </w:rPr>
            </w:pPr>
          </w:p>
        </w:tc>
      </w:tr>
      <w:tr w:rsidR="005B38DA" w:rsidRPr="000F1D17" w14:paraId="3F39BF64" w14:textId="77777777" w:rsidTr="00336D0F">
        <w:tc>
          <w:tcPr>
            <w:tcW w:w="3042" w:type="dxa"/>
            <w:shd w:val="clear" w:color="auto" w:fill="FFFFFF" w:themeFill="background1"/>
          </w:tcPr>
          <w:p w14:paraId="58242598" w14:textId="714B0DFB" w:rsidR="005B38DA" w:rsidRPr="000F1D17" w:rsidRDefault="005B38DA" w:rsidP="005B38DA">
            <w:pPr>
              <w:rPr>
                <w:b/>
                <w:sz w:val="20"/>
                <w:szCs w:val="20"/>
              </w:rPr>
            </w:pPr>
            <w:r w:rsidRPr="000F1D17">
              <w:rPr>
                <w:b/>
                <w:sz w:val="20"/>
                <w:szCs w:val="20"/>
              </w:rPr>
              <w:t xml:space="preserve">Resolution #/Title/Date Submitted </w:t>
            </w:r>
          </w:p>
        </w:tc>
        <w:tc>
          <w:tcPr>
            <w:tcW w:w="9908" w:type="dxa"/>
            <w:shd w:val="clear" w:color="auto" w:fill="FFFFFF" w:themeFill="background1"/>
          </w:tcPr>
          <w:p w14:paraId="7DC30F95" w14:textId="7BCCFD3B" w:rsidR="005B38DA" w:rsidRPr="000F1D17" w:rsidRDefault="005B38DA" w:rsidP="005B38DA">
            <w:pPr>
              <w:rPr>
                <w:sz w:val="20"/>
                <w:szCs w:val="20"/>
              </w:rPr>
            </w:pPr>
            <w:r w:rsidRPr="000F1D17">
              <w:rPr>
                <w:b/>
                <w:sz w:val="20"/>
                <w:szCs w:val="20"/>
              </w:rPr>
              <w:t xml:space="preserve">A-07-22 – </w:t>
            </w:r>
            <w:r w:rsidRPr="000F1D17">
              <w:rPr>
                <w:b/>
                <w:bCs/>
                <w:noProof/>
                <w:sz w:val="20"/>
                <w:szCs w:val="20"/>
              </w:rPr>
              <w:t>A Better Health Care System is Possible</w:t>
            </w:r>
          </w:p>
        </w:tc>
      </w:tr>
      <w:tr w:rsidR="005B38DA" w:rsidRPr="000F1D17" w14:paraId="7AB9CF02" w14:textId="77777777" w:rsidTr="00336D0F">
        <w:tc>
          <w:tcPr>
            <w:tcW w:w="3042" w:type="dxa"/>
            <w:shd w:val="clear" w:color="auto" w:fill="FFFFFF" w:themeFill="background1"/>
          </w:tcPr>
          <w:p w14:paraId="18705C96" w14:textId="45477E0E" w:rsidR="005B38DA" w:rsidRPr="000F1D17" w:rsidRDefault="005B38DA" w:rsidP="005B38DA">
            <w:pPr>
              <w:rPr>
                <w:b/>
                <w:sz w:val="20"/>
                <w:szCs w:val="20"/>
              </w:rPr>
            </w:pPr>
            <w:r w:rsidRPr="000F1D17">
              <w:rPr>
                <w:b/>
                <w:sz w:val="20"/>
                <w:szCs w:val="20"/>
              </w:rPr>
              <w:t>Original RESOLVEDS:</w:t>
            </w:r>
          </w:p>
        </w:tc>
        <w:tc>
          <w:tcPr>
            <w:tcW w:w="9908" w:type="dxa"/>
            <w:shd w:val="clear" w:color="auto" w:fill="FFFFFF" w:themeFill="background1"/>
          </w:tcPr>
          <w:p w14:paraId="299CAD87" w14:textId="4BBE4F92" w:rsidR="005B38DA" w:rsidRPr="00FB1FAF" w:rsidRDefault="005B38DA" w:rsidP="005B38DA">
            <w:pPr>
              <w:rPr>
                <w:sz w:val="20"/>
                <w:szCs w:val="20"/>
              </w:rPr>
            </w:pPr>
            <w:r w:rsidRPr="000F1D17">
              <w:rPr>
                <w:b/>
                <w:bCs/>
                <w:sz w:val="20"/>
                <w:szCs w:val="20"/>
              </w:rPr>
              <w:t>RESOLVED:</w:t>
            </w:r>
            <w:r w:rsidRPr="000F1D17">
              <w:rPr>
                <w:sz w:val="20"/>
                <w:szCs w:val="20"/>
              </w:rPr>
              <w:t xml:space="preserve"> That CAFP advocate for and bring a resolution to the AAFP Congress of Delegates that the American Academy of Family Physicians revise and clarify the list of five Health Care for All approaches to include just the following two: a single-payer model approach that is clearly defined in its organization, financing, and model of delivery of health care services that would be publicly financed and publicly or privately administered, with the government collecting and providing the funding to pay for health care provided by physicians and other clinicians who work independently or in private health systems; and a public option approach that is a publicly administered plan offered alongside regulated private insurance in a Bismarck-type model, a system of statutory health insurance involving multiple nonprofit payers that are required to cover a government-defined benefits package.</w:t>
            </w:r>
          </w:p>
        </w:tc>
      </w:tr>
      <w:tr w:rsidR="005B38DA" w:rsidRPr="000F1D17" w14:paraId="54BDF201" w14:textId="77777777" w:rsidTr="00336D0F">
        <w:tc>
          <w:tcPr>
            <w:tcW w:w="3042" w:type="dxa"/>
            <w:shd w:val="clear" w:color="auto" w:fill="FFFFFF" w:themeFill="background1"/>
          </w:tcPr>
          <w:p w14:paraId="322BA871" w14:textId="15F9EF9A" w:rsidR="005B38DA" w:rsidRPr="000F1D17" w:rsidRDefault="005B38DA" w:rsidP="005B38DA">
            <w:pPr>
              <w:rPr>
                <w:b/>
                <w:sz w:val="20"/>
                <w:szCs w:val="20"/>
              </w:rPr>
            </w:pPr>
            <w:r w:rsidRPr="000F1D17">
              <w:rPr>
                <w:b/>
                <w:sz w:val="20"/>
                <w:szCs w:val="20"/>
              </w:rPr>
              <w:t>Recommended Actions and Progress Notes:</w:t>
            </w:r>
          </w:p>
        </w:tc>
        <w:tc>
          <w:tcPr>
            <w:tcW w:w="9908" w:type="dxa"/>
            <w:shd w:val="clear" w:color="auto" w:fill="FFFFFF" w:themeFill="background1"/>
          </w:tcPr>
          <w:p w14:paraId="4FE9BB29" w14:textId="1E485EC3" w:rsidR="005B38DA" w:rsidRPr="000F1D17" w:rsidRDefault="005B38DA" w:rsidP="005B38DA">
            <w:pPr>
              <w:rPr>
                <w:b/>
                <w:bCs/>
                <w:sz w:val="20"/>
                <w:szCs w:val="20"/>
              </w:rPr>
            </w:pPr>
            <w:r w:rsidRPr="000F1D17">
              <w:rPr>
                <w:sz w:val="20"/>
                <w:szCs w:val="20"/>
              </w:rPr>
              <w:t xml:space="preserve">The BOD met on 4.22.22and did not adopt the resolution. </w:t>
            </w:r>
          </w:p>
        </w:tc>
      </w:tr>
      <w:tr w:rsidR="005B38DA" w:rsidRPr="000F1D17" w14:paraId="1A5F3272" w14:textId="77777777" w:rsidTr="00336D0F">
        <w:tc>
          <w:tcPr>
            <w:tcW w:w="3042" w:type="dxa"/>
            <w:shd w:val="clear" w:color="auto" w:fill="FFFFFF" w:themeFill="background1"/>
          </w:tcPr>
          <w:p w14:paraId="3C5401B8" w14:textId="511F1236" w:rsidR="005B38DA" w:rsidRPr="000F1D17" w:rsidRDefault="005B38DA" w:rsidP="005B38DA">
            <w:pPr>
              <w:rPr>
                <w:b/>
                <w:sz w:val="20"/>
                <w:szCs w:val="20"/>
              </w:rPr>
            </w:pPr>
            <w:r w:rsidRPr="000F1D17">
              <w:rPr>
                <w:b/>
                <w:sz w:val="20"/>
                <w:szCs w:val="20"/>
              </w:rPr>
              <w:t>Final Action:</w:t>
            </w:r>
          </w:p>
        </w:tc>
        <w:tc>
          <w:tcPr>
            <w:tcW w:w="9908" w:type="dxa"/>
            <w:shd w:val="clear" w:color="auto" w:fill="FFFFFF" w:themeFill="background1"/>
          </w:tcPr>
          <w:p w14:paraId="7DD2C868" w14:textId="073B6D05" w:rsidR="005B38DA" w:rsidRPr="00FB1FAF" w:rsidRDefault="005B38DA" w:rsidP="005B38DA">
            <w:pPr>
              <w:rPr>
                <w:rFonts w:cstheme="minorHAnsi"/>
                <w:sz w:val="20"/>
                <w:szCs w:val="20"/>
              </w:rPr>
            </w:pPr>
            <w:r w:rsidRPr="000F1D17">
              <w:rPr>
                <w:sz w:val="20"/>
                <w:szCs w:val="20"/>
              </w:rPr>
              <w:t>The BOD met on 4.22.22and did not adopt the resolution</w:t>
            </w:r>
            <w:r w:rsidRPr="00DE655D">
              <w:rPr>
                <w:sz w:val="20"/>
                <w:szCs w:val="20"/>
              </w:rPr>
              <w:t xml:space="preserve">. </w:t>
            </w:r>
            <w:r w:rsidRPr="005E7CB8">
              <w:rPr>
                <w:rFonts w:cstheme="minorHAnsi"/>
                <w:sz w:val="20"/>
                <w:szCs w:val="20"/>
              </w:rPr>
              <w:t>Testimony expressed that this would limit CAFP’s ability to support other health care reform proposals, such as the ACA, that would make improvements to our health care system.  Current CAFP policy allows for multiple approaches to health care reform which gives CAFP the flexibility to support future innovative policies.</w:t>
            </w:r>
            <w:r w:rsidRPr="005E7CB8">
              <w:rPr>
                <w:rFonts w:cstheme="minorHAnsi"/>
                <w:b/>
                <w:sz w:val="20"/>
                <w:szCs w:val="20"/>
              </w:rPr>
              <w:t xml:space="preserve"> </w:t>
            </w:r>
            <w:r w:rsidRPr="005E7CB8">
              <w:rPr>
                <w:rFonts w:cstheme="minorHAnsi"/>
                <w:sz w:val="20"/>
                <w:szCs w:val="20"/>
              </w:rPr>
              <w:t>Authors informed.</w:t>
            </w:r>
            <w:r w:rsidRPr="000F1D17">
              <w:rPr>
                <w:rFonts w:cstheme="minorHAnsi"/>
                <w:sz w:val="20"/>
                <w:szCs w:val="20"/>
              </w:rPr>
              <w:t xml:space="preserve"> </w:t>
            </w:r>
          </w:p>
        </w:tc>
      </w:tr>
    </w:tbl>
    <w:p w14:paraId="77653423" w14:textId="77777777" w:rsidR="00742679" w:rsidRPr="000F1D17" w:rsidRDefault="00742679">
      <w:pPr>
        <w:rPr>
          <w:sz w:val="20"/>
          <w:szCs w:val="20"/>
        </w:rPr>
      </w:pPr>
    </w:p>
    <w:sectPr w:rsidR="00742679" w:rsidRPr="000F1D17" w:rsidSect="00742679">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875" w16cex:dateUtc="2022-08-20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0E58F" w16cid:durableId="26AA48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668C" w14:textId="77777777" w:rsidR="00671270" w:rsidRDefault="00671270" w:rsidP="00F409E8">
      <w:r>
        <w:separator/>
      </w:r>
    </w:p>
  </w:endnote>
  <w:endnote w:type="continuationSeparator" w:id="0">
    <w:p w14:paraId="0EA2E401" w14:textId="77777777" w:rsidR="00671270" w:rsidRDefault="00671270"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B077D" w14:textId="77777777" w:rsidR="00671270" w:rsidRDefault="00671270" w:rsidP="00F409E8">
      <w:r>
        <w:separator/>
      </w:r>
    </w:p>
  </w:footnote>
  <w:footnote w:type="continuationSeparator" w:id="0">
    <w:p w14:paraId="7DC88003" w14:textId="77777777" w:rsidR="00671270" w:rsidRDefault="00671270" w:rsidP="00F4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9"/>
    <w:rsid w:val="00002089"/>
    <w:rsid w:val="00023431"/>
    <w:rsid w:val="0003252F"/>
    <w:rsid w:val="0004042B"/>
    <w:rsid w:val="00042EDC"/>
    <w:rsid w:val="000475D4"/>
    <w:rsid w:val="000619A3"/>
    <w:rsid w:val="00063EB8"/>
    <w:rsid w:val="00077125"/>
    <w:rsid w:val="000A0E63"/>
    <w:rsid w:val="000C4C32"/>
    <w:rsid w:val="000D1EF7"/>
    <w:rsid w:val="000E4CE9"/>
    <w:rsid w:val="000E4D5D"/>
    <w:rsid w:val="000F1D17"/>
    <w:rsid w:val="001059EA"/>
    <w:rsid w:val="001071EB"/>
    <w:rsid w:val="00112360"/>
    <w:rsid w:val="00135B36"/>
    <w:rsid w:val="0013690B"/>
    <w:rsid w:val="00151B30"/>
    <w:rsid w:val="00176B8B"/>
    <w:rsid w:val="00176BED"/>
    <w:rsid w:val="0018188D"/>
    <w:rsid w:val="00194E5E"/>
    <w:rsid w:val="001A20EC"/>
    <w:rsid w:val="001E2EB4"/>
    <w:rsid w:val="001E2F90"/>
    <w:rsid w:val="001F1AFF"/>
    <w:rsid w:val="00270693"/>
    <w:rsid w:val="002B1219"/>
    <w:rsid w:val="002C5618"/>
    <w:rsid w:val="002C7F2B"/>
    <w:rsid w:val="002D2E7C"/>
    <w:rsid w:val="002D3F3B"/>
    <w:rsid w:val="002D4C3E"/>
    <w:rsid w:val="002D65B0"/>
    <w:rsid w:val="002D77C9"/>
    <w:rsid w:val="00336D0F"/>
    <w:rsid w:val="0034482D"/>
    <w:rsid w:val="003A2C2D"/>
    <w:rsid w:val="003A45E7"/>
    <w:rsid w:val="003A4707"/>
    <w:rsid w:val="003D6AC4"/>
    <w:rsid w:val="003F492D"/>
    <w:rsid w:val="004046ED"/>
    <w:rsid w:val="0040741F"/>
    <w:rsid w:val="0040765F"/>
    <w:rsid w:val="0044635D"/>
    <w:rsid w:val="00447551"/>
    <w:rsid w:val="004619D3"/>
    <w:rsid w:val="00463577"/>
    <w:rsid w:val="00471DC1"/>
    <w:rsid w:val="004B02E9"/>
    <w:rsid w:val="004B32CD"/>
    <w:rsid w:val="004C1E45"/>
    <w:rsid w:val="004C6FD9"/>
    <w:rsid w:val="004D11A4"/>
    <w:rsid w:val="004D388E"/>
    <w:rsid w:val="004F7E18"/>
    <w:rsid w:val="00521238"/>
    <w:rsid w:val="005252A3"/>
    <w:rsid w:val="005418FF"/>
    <w:rsid w:val="005534FB"/>
    <w:rsid w:val="0056333F"/>
    <w:rsid w:val="0058069F"/>
    <w:rsid w:val="00595A50"/>
    <w:rsid w:val="005B38DA"/>
    <w:rsid w:val="005C63A5"/>
    <w:rsid w:val="005D432C"/>
    <w:rsid w:val="005E3B0A"/>
    <w:rsid w:val="005E7CB8"/>
    <w:rsid w:val="00663251"/>
    <w:rsid w:val="00671270"/>
    <w:rsid w:val="006716B3"/>
    <w:rsid w:val="00681632"/>
    <w:rsid w:val="006A2395"/>
    <w:rsid w:val="006A795B"/>
    <w:rsid w:val="006B2BD4"/>
    <w:rsid w:val="006D2FE0"/>
    <w:rsid w:val="006F41A4"/>
    <w:rsid w:val="007114CC"/>
    <w:rsid w:val="00742679"/>
    <w:rsid w:val="00765144"/>
    <w:rsid w:val="00784CC5"/>
    <w:rsid w:val="007B4F40"/>
    <w:rsid w:val="007B6ED1"/>
    <w:rsid w:val="007D552C"/>
    <w:rsid w:val="007E2E65"/>
    <w:rsid w:val="00804D99"/>
    <w:rsid w:val="00821387"/>
    <w:rsid w:val="00822A62"/>
    <w:rsid w:val="00827F6C"/>
    <w:rsid w:val="0088225D"/>
    <w:rsid w:val="008A01A5"/>
    <w:rsid w:val="008A1C5A"/>
    <w:rsid w:val="008A279F"/>
    <w:rsid w:val="008A56CB"/>
    <w:rsid w:val="008A7D56"/>
    <w:rsid w:val="008B4E4B"/>
    <w:rsid w:val="008C3AE4"/>
    <w:rsid w:val="008D2161"/>
    <w:rsid w:val="008D588B"/>
    <w:rsid w:val="008D7F9A"/>
    <w:rsid w:val="008E26B4"/>
    <w:rsid w:val="00901987"/>
    <w:rsid w:val="00932BB6"/>
    <w:rsid w:val="009419CD"/>
    <w:rsid w:val="00941EEC"/>
    <w:rsid w:val="009868D4"/>
    <w:rsid w:val="009902D6"/>
    <w:rsid w:val="009D6EC3"/>
    <w:rsid w:val="009E5072"/>
    <w:rsid w:val="00A02DAE"/>
    <w:rsid w:val="00A040A6"/>
    <w:rsid w:val="00A134AC"/>
    <w:rsid w:val="00A264E1"/>
    <w:rsid w:val="00A6043C"/>
    <w:rsid w:val="00AB2B70"/>
    <w:rsid w:val="00AB7654"/>
    <w:rsid w:val="00AC306F"/>
    <w:rsid w:val="00B20656"/>
    <w:rsid w:val="00B25FA0"/>
    <w:rsid w:val="00B524F8"/>
    <w:rsid w:val="00B6354A"/>
    <w:rsid w:val="00B660D7"/>
    <w:rsid w:val="00B75F9F"/>
    <w:rsid w:val="00B876B3"/>
    <w:rsid w:val="00BB260E"/>
    <w:rsid w:val="00BD2C4D"/>
    <w:rsid w:val="00BE2981"/>
    <w:rsid w:val="00C05790"/>
    <w:rsid w:val="00C101D7"/>
    <w:rsid w:val="00C22255"/>
    <w:rsid w:val="00C34030"/>
    <w:rsid w:val="00C4519B"/>
    <w:rsid w:val="00C57BB2"/>
    <w:rsid w:val="00C64DEA"/>
    <w:rsid w:val="00C807AF"/>
    <w:rsid w:val="00CA174A"/>
    <w:rsid w:val="00CA1BF2"/>
    <w:rsid w:val="00CA4365"/>
    <w:rsid w:val="00CD4BC7"/>
    <w:rsid w:val="00CD5002"/>
    <w:rsid w:val="00D01576"/>
    <w:rsid w:val="00D0301C"/>
    <w:rsid w:val="00D64874"/>
    <w:rsid w:val="00D80BF7"/>
    <w:rsid w:val="00DE655D"/>
    <w:rsid w:val="00DF2583"/>
    <w:rsid w:val="00E06DE8"/>
    <w:rsid w:val="00E13EE1"/>
    <w:rsid w:val="00E22CAD"/>
    <w:rsid w:val="00E5231F"/>
    <w:rsid w:val="00E73B91"/>
    <w:rsid w:val="00E761B7"/>
    <w:rsid w:val="00EB24C7"/>
    <w:rsid w:val="00EB5319"/>
    <w:rsid w:val="00EC646A"/>
    <w:rsid w:val="00EC6546"/>
    <w:rsid w:val="00ED7310"/>
    <w:rsid w:val="00EE1FE2"/>
    <w:rsid w:val="00F024EB"/>
    <w:rsid w:val="00F0491F"/>
    <w:rsid w:val="00F24308"/>
    <w:rsid w:val="00F342D4"/>
    <w:rsid w:val="00F374CF"/>
    <w:rsid w:val="00F409E8"/>
    <w:rsid w:val="00F4613D"/>
    <w:rsid w:val="00F46498"/>
    <w:rsid w:val="00FB1FAF"/>
    <w:rsid w:val="00FD2B5B"/>
    <w:rsid w:val="00FE3DCF"/>
    <w:rsid w:val="00FE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B9F9"/>
  <w15:chartTrackingRefBased/>
  <w15:docId w15:val="{28C3D7AC-E40D-8645-BE11-E64F3473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unhideWhenUsed/>
    <w:rsid w:val="008A7D56"/>
    <w:rPr>
      <w:sz w:val="20"/>
      <w:szCs w:val="20"/>
    </w:rPr>
  </w:style>
  <w:style w:type="character" w:customStyle="1" w:styleId="CommentTextChar">
    <w:name w:val="Comment Text Char"/>
    <w:basedOn w:val="DefaultParagraphFont"/>
    <w:link w:val="CommentText"/>
    <w:uiPriority w:val="99"/>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paragraph" w:customStyle="1" w:styleId="Body">
    <w:name w:val="Body"/>
    <w:rsid w:val="003D6AC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il">
    <w:name w:val="il"/>
    <w:basedOn w:val="DefaultParagraphFont"/>
    <w:rsid w:val="002C5618"/>
  </w:style>
  <w:style w:type="paragraph" w:styleId="Revision">
    <w:name w:val="Revision"/>
    <w:hidden/>
    <w:uiPriority w:val="99"/>
    <w:semiHidden/>
    <w:rsid w:val="00447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461312773">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1846747807">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3F85-A247-4663-8278-8BC6881E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Cleveland</cp:lastModifiedBy>
  <cp:revision>2</cp:revision>
  <dcterms:created xsi:type="dcterms:W3CDTF">2022-11-08T23:19:00Z</dcterms:created>
  <dcterms:modified xsi:type="dcterms:W3CDTF">2022-11-08T23:19:00Z</dcterms:modified>
</cp:coreProperties>
</file>